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
    <w:p/>
    <w:p/>
    <w:p/>
    <w:p/>
    <w:p>
      <w:pPr>
        <w:jc w:val="center"/>
      </w:pPr>
      <w:r>
        <w:rPr>
          <w:rFonts w:ascii="Aptos Display" w:hAnsi="Aptos Display"/>
          <w:b/>
          <w:color w:val="394656"/>
          <w:sz w:val="56"/>
        </w:rPr>
        <w:t>VANISHING WORLDS</w:t>
      </w:r>
    </w:p>
    <w:p>
      <w:pPr>
        <w:pStyle w:val="SubtitleCustom"/>
        <w:jc w:val="center"/>
      </w:pPr>
      <w:r>
        <w:t>A Field Guide to Preserving Human Stories, Subcultures, Cultural Memory, and Living Identity</w:t>
      </w:r>
    </w:p>
    <w:p>
      <w:pPr>
        <w:jc w:val="center"/>
      </w:pPr>
      <w:r>
        <w:rPr>
          <w:color w:val="A5AAB2"/>
        </w:rPr>
        <w:t>————————————————————————</w:t>
      </w:r>
    </w:p>
    <w:p>
      <w:pPr>
        <w:pStyle w:val="QuoteCustom"/>
        <w:jc w:val="center"/>
      </w:pPr>
      <w:r>
        <w:t>A supporter-ready handbook for explaining the mission of VanishingWorldsProject.org, guiding respectful interviews, and teaching creative cultural documentation.</w:t>
      </w:r>
    </w:p>
    <w:p/>
    <w:p/>
    <w:p/>
    <w:p/>
    <w:p/>
    <w:p/>
    <w:p/>
    <w:p/>
    <w:p>
      <w:pPr>
        <w:jc w:val="center"/>
      </w:pPr>
      <w:r>
        <w:rPr>
          <w:rFonts w:ascii="Aptos" w:hAnsi="Aptos"/>
          <w:b/>
          <w:sz w:val="24"/>
        </w:rPr>
        <w:t>Prepared for the Vanishing Worlds Project</w:t>
      </w:r>
    </w:p>
    <w:p>
      <w:pPr>
        <w:pStyle w:val="SmallText"/>
        <w:jc w:val="center"/>
      </w:pPr>
      <w:r>
        <w:t>Created for Lewis Busbee | March 2026</w:t>
      </w:r>
    </w:p>
    <w:p>
      <w:r>
        <w:br w:type="page"/>
      </w:r>
    </w:p>
    <w:p>
      <w:pPr>
        <w:pStyle w:val="Title"/>
        <w:jc w:val="center"/>
      </w:pPr>
      <w:r>
        <w:t>Vanishing Worlds</w:t>
      </w:r>
    </w:p>
    <w:p>
      <w:pPr>
        <w:pStyle w:val="SubtitleCustom"/>
        <w:jc w:val="center"/>
      </w:pPr>
      <w:r>
        <w:t>A Mission Book, Field Manual, and Supporter Guide for Cultural Documentation</w:t>
      </w:r>
    </w:p>
    <w:p/>
    <w:p>
      <w:pPr>
        <w:pStyle w:val="Callout"/>
      </w:pPr>
      <w:r>
        <w:rPr>
          <w:b/>
        </w:rPr>
        <w:t xml:space="preserve">Purpose. </w:t>
      </w:r>
      <w:r>
        <w:t>This book explains the mission of the Vanishing Worlds Project, why cultural documentation matters, how respectful interviewing can be done well, how artifacts and identity can be documented with care, and how supporters can help the project grow into a meaningful archive.</w:t>
      </w:r>
    </w:p>
    <w:p>
      <w:pPr>
        <w:pStyle w:val="Callout"/>
      </w:pPr>
      <w:r>
        <w:rPr>
          <w:b/>
        </w:rPr>
        <w:t xml:space="preserve">Best use. </w:t>
      </w:r>
      <w:r>
        <w:t>It can function as a supporter-facing book, a field-preparation guide, a creative orientation manual, and a foundation text for volunteers, donors, collaborators, and interested readers.</w:t>
      </w:r>
    </w:p>
    <w:p>
      <w:r>
        <w:br w:type="page"/>
      </w:r>
    </w:p>
    <w:p>
      <w:pPr>
        <w:pStyle w:val="Heading1"/>
      </w:pPr>
      <w:r>
        <w:t>Copyright and Use</w:t>
      </w:r>
    </w:p>
    <w:p>
      <w:r>
        <w:t>Copyright © 2026 Lewis Busbee. All rights reserved. This manuscript may be adapted for digital sale, supporter outreach, field preparation, educational use, and project development for the Vanishing Worlds Project.</w:t>
      </w:r>
    </w:p>
    <w:p>
      <w:r>
        <w:t>This book is educational and documentary in nature. It is not a substitute for legal advice, travel security advice, formal anthropological credentials, medical or mental health care, or community-specific permission protocols. Readers are responsible for complying with local laws, safety requirements, consent standards, and cultural expectations in any setting where they do fieldwork.</w:t>
      </w:r>
    </w:p>
    <w:p>
      <w:r>
        <w:t>The project mission language and project background in this book are based on the public Vanishing Worlds Project website and founder notes available in March 2026. Broader chapters on field practice, ethics, and cultural documentation expand beyond the site in order to create a practical, sellable handbook that supports the project.</w:t>
      </w:r>
    </w:p>
    <w:p>
      <w:r>
        <w:br w:type="page"/>
      </w:r>
    </w:p>
    <w:p>
      <w:pPr>
        <w:pStyle w:val="Heading1"/>
      </w:pPr>
      <w:r>
        <w:t>About This Book</w:t>
      </w:r>
    </w:p>
    <w:p>
      <w:r>
        <w:t>Many books about culture stay abstract. Many field manuals stay technical. Many supporter brochures stay shallow. This book is meant to do something more useful: translate the spirit of the Vanishing Worlds Project into a compelling mission narrative, a respectful field guide, and a practical action book people can actually use.</w:t>
      </w:r>
    </w:p>
    <w:p>
      <w:r>
        <w:t>It is built around one central belief: when a culture, subculture, or way of life disappears without being heard, humanity loses more than information. It loses memory, pattern, meaning, and a way of seeing the world.</w:t>
      </w:r>
    </w:p>
    <w:p>
      <w:r>
        <w:t>The chapters move from purpose to practice. Early chapters explain why this work matters. Middle chapters teach how to listen, interview, observe, and document. Later chapters explore identity, hierarchy, social contracts, cultural artifacts, common pressures faced by subcultures, and the kinds of support needed to keep the project alive. The appendices make the book practical by including interview tools, observation forms, and supporter pathways.</w:t>
      </w:r>
    </w:p>
    <w:p>
      <w:r>
        <w:br w:type="page"/>
      </w:r>
    </w:p>
    <w:p>
      <w:pPr>
        <w:pStyle w:val="Heading1"/>
      </w:pPr>
      <w:r>
        <w:t>Contents</w:t>
      </w:r>
    </w:p>
    <w:p>
      <w:pPr>
        <w:pStyle w:val="ListNumber"/>
        <w:spacing w:after="100"/>
      </w:pPr>
      <w:r>
        <w:t>1. The Mission: Why Vanishing Worlds Matter</w:t>
      </w:r>
    </w:p>
    <w:p>
      <w:pPr>
        <w:pStyle w:val="ListNumber"/>
        <w:spacing w:after="100"/>
      </w:pPr>
      <w:r>
        <w:t>2. What Disappears When a World Disappears</w:t>
      </w:r>
    </w:p>
    <w:p>
      <w:pPr>
        <w:pStyle w:val="ListNumber"/>
        <w:spacing w:after="100"/>
      </w:pPr>
      <w:r>
        <w:t>3. The Project Lens: Culture, Psychology, and Human Meaning</w:t>
      </w:r>
    </w:p>
    <w:p>
      <w:pPr>
        <w:pStyle w:val="ListNumber"/>
        <w:spacing w:after="100"/>
      </w:pPr>
      <w:r>
        <w:t>4. How People Can Help</w:t>
      </w:r>
    </w:p>
    <w:p>
      <w:pPr>
        <w:pStyle w:val="ListNumber"/>
        <w:spacing w:after="100"/>
      </w:pPr>
      <w:r>
        <w:t>5. Choosing a Community and Preparing for Fieldwork</w:t>
      </w:r>
    </w:p>
    <w:p>
      <w:pPr>
        <w:pStyle w:val="ListNumber"/>
        <w:spacing w:after="100"/>
      </w:pPr>
      <w:r>
        <w:t>6. The Interview Process: Listening Without Taking</w:t>
      </w:r>
    </w:p>
    <w:p>
      <w:pPr>
        <w:pStyle w:val="ListNumber"/>
        <w:spacing w:after="100"/>
      </w:pPr>
      <w:r>
        <w:t>7. Creative Cultural Documentation: Capturing Essence</w:t>
      </w:r>
    </w:p>
    <w:p>
      <w:pPr>
        <w:pStyle w:val="ListNumber"/>
        <w:spacing w:after="100"/>
      </w:pPr>
      <w:r>
        <w:t>8. Artifacts, Material Culture, and Cultural Memory</w:t>
      </w:r>
    </w:p>
    <w:p>
      <w:pPr>
        <w:pStyle w:val="ListNumber"/>
        <w:spacing w:after="100"/>
      </w:pPr>
      <w:r>
        <w:t>9. Hierarchy, Social Contracts, and Unwritten Rules</w:t>
      </w:r>
    </w:p>
    <w:p>
      <w:pPr>
        <w:pStyle w:val="ListNumber"/>
        <w:spacing w:after="100"/>
      </w:pPr>
      <w:r>
        <w:t>10. Common Pressures Faced by Subcultures</w:t>
      </w:r>
    </w:p>
    <w:p>
      <w:pPr>
        <w:pStyle w:val="ListNumber"/>
        <w:spacing w:after="100"/>
      </w:pPr>
      <w:r>
        <w:t>11. Ethics, Dignity, and Representation</w:t>
      </w:r>
    </w:p>
    <w:p>
      <w:pPr>
        <w:pStyle w:val="ListNumber"/>
        <w:spacing w:after="100"/>
      </w:pPr>
      <w:r>
        <w:t>12. Turning Fieldwork into a Living Archive</w:t>
      </w:r>
    </w:p>
    <w:p>
      <w:pPr>
        <w:pStyle w:val="ListNumber"/>
        <w:spacing w:after="100"/>
      </w:pPr>
      <w:r>
        <w:t>13. Building a Supportive Movement Around the Project</w:t>
      </w:r>
    </w:p>
    <w:p>
      <w:pPr>
        <w:pStyle w:val="ListNumber"/>
        <w:spacing w:after="100"/>
      </w:pPr>
      <w:r>
        <w:t>14. Suggested Future Chapters and Companion Products</w:t>
      </w:r>
    </w:p>
    <w:p>
      <w:pPr>
        <w:pStyle w:val="ListNumber"/>
        <w:spacing w:after="100"/>
      </w:pPr>
      <w:r>
        <w:t>Appendix A. Interview Starter Toolkit</w:t>
      </w:r>
    </w:p>
    <w:p>
      <w:pPr>
        <w:pStyle w:val="ListNumber"/>
        <w:spacing w:after="100"/>
      </w:pPr>
      <w:r>
        <w:t>Appendix B. Field Observation Worksheet</w:t>
      </w:r>
    </w:p>
    <w:p>
      <w:pPr>
        <w:pStyle w:val="ListNumber"/>
        <w:spacing w:after="100"/>
      </w:pPr>
      <w:r>
        <w:t>Appendix C. Artifact and Object Log</w:t>
      </w:r>
    </w:p>
    <w:p>
      <w:pPr>
        <w:pStyle w:val="ListNumber"/>
        <w:spacing w:after="100"/>
      </w:pPr>
      <w:r>
        <w:t>Appendix D. Supporter Action Map</w:t>
      </w:r>
    </w:p>
    <w:p>
      <w:pPr>
        <w:pStyle w:val="ListNumber"/>
        <w:spacing w:after="100"/>
      </w:pPr>
      <w:r>
        <w:t>Project Source Notes</w:t>
      </w:r>
    </w:p>
    <w:p>
      <w:r>
        <w:br w:type="page"/>
      </w:r>
    </w:p>
    <w:p>
      <w:pPr>
        <w:pStyle w:val="Heading1"/>
      </w:pPr>
      <w:r>
        <w:t>1. The Mission: Why Vanishing Worlds Matter</w:t>
      </w:r>
    </w:p>
    <w:p>
      <w:pPr>
        <w:pStyle w:val="SubtitleCustom"/>
      </w:pPr>
      <w:r>
        <w:t>Explaining the heart of VanishingWorldsProject.org in language that supporters, readers, and collaborators can quickly understand.</w:t>
      </w:r>
    </w:p>
    <w:p>
      <w:pPr>
        <w:pStyle w:val="QuoteCustom"/>
      </w:pPr>
      <w:r>
        <w:t>“Our mission is to preserve the human story of subcultures for posterity before they vanish.”</w:t>
      </w:r>
    </w:p>
    <w:p>
      <w:pPr/>
      <w:r>
        <w:t>The Vanishing Worlds Project exists because large parts of human life disappear quietly. Sometimes a language weakens. Sometimes an old neighborhood changes beyond recognition. Sometimes a rural tradition fades as younger generations leave. Sometimes a subculture survives in fragments online but loses its original rituals, codes, symbols, tools, or stories. Often the loss happens gradually enough that the wider world barely notices until the world in question has already thinned out or changed beyond recovery.</w:t>
      </w:r>
    </w:p>
    <w:p>
      <w:pPr/>
      <w:r>
        <w:t>The project’s public mission emphasizes preserving the human story of subcultures and communities before they vanish. That mission is broader than nostalgia. It is not only about saving images of old objects or capturing exotic locations. It is about documenting the lived interior of human groups: how people organize themselves, what they value, how they survive, what binds them together, what threatens them, and what they believe is worth carrying forward.</w:t>
      </w:r>
    </w:p>
    <w:p>
      <w:pPr/>
      <w:r>
        <w:t>The founder’s note on the website frames the project as a deeply personal calling rooted in listening, curiosity, and respect. That matters. The best cultural documentation does not start with conquest, extraction, or spectacle. It starts with attention. It starts with a willingness to stand still long enough for another human world to become legible.</w:t>
      </w:r>
    </w:p>
    <w:p>
      <w:pPr/>
      <w:r>
        <w:t>For supporters, the simplest explanation is this: Vanishing Worlds is building a respectful archive of communities, subcultures, identities, traditions, and lived realities that are changing, overlooked, or at risk of being misunderstood or forgotten. Through interviews, observation, writing, photography, audio, and video, the project aims to preserve stories that reveal how human beings create meaning, belonging, adaptation, and resilience.</w:t>
      </w:r>
    </w:p>
    <w:p>
      <w:pPr/>
      <w:r>
        <w:t>The deeper explanation is this: when the world loses a culture or subculture, it loses an entire pattern of human possibility. It loses a way of solving problems. It loses a way of naming reality. It loses a memory structure. It loses lived evidence of how people have answered the ancient questions of identity, authority, family, duty, beauty, danger, and hope.</w:t>
      </w:r>
    </w:p>
    <w:p>
      <w:pPr>
        <w:pStyle w:val="ListBullet"/>
        <w:spacing w:after="100"/>
      </w:pPr>
      <w:r>
        <w:t>The project is documentary rather than performative.</w:t>
      </w:r>
    </w:p>
    <w:p>
      <w:pPr>
        <w:pStyle w:val="ListBullet"/>
        <w:spacing w:after="100"/>
      </w:pPr>
      <w:r>
        <w:t>The goal is respectful understanding, not romanticization.</w:t>
      </w:r>
    </w:p>
    <w:p>
      <w:pPr>
        <w:pStyle w:val="ListBullet"/>
        <w:spacing w:after="100"/>
      </w:pPr>
      <w:r>
        <w:t>The archive values voices, practices, artifacts, and context.</w:t>
      </w:r>
    </w:p>
    <w:p>
      <w:pPr>
        <w:pStyle w:val="ListBullet"/>
        <w:spacing w:after="100"/>
      </w:pPr>
      <w:r>
        <w:t>The work is meant to serve future generations as well as present-day empathy.</w:t>
      </w:r>
    </w:p>
    <w:p>
      <w:pPr>
        <w:pStyle w:val="ListBullet"/>
        <w:spacing w:after="100"/>
      </w:pPr>
      <w:r>
        <w:t>Support matters because travel, trust-building, recording, editing, and preserving all take time and resources.</w:t>
      </w:r>
    </w:p>
    <w:p>
      <w:r>
        <w:br w:type="page"/>
      </w:r>
    </w:p>
    <w:p>
      <w:pPr>
        <w:pStyle w:val="Heading1"/>
      </w:pPr>
      <w:r>
        <w:t>2. What Disappears When a World Disappears</w:t>
      </w:r>
    </w:p>
    <w:p>
      <w:pPr>
        <w:pStyle w:val="SubtitleCustom"/>
      </w:pPr>
      <w:r>
        <w:t>The loss is not only visual; it is psychological, social, and civilizational.</w:t>
      </w:r>
    </w:p>
    <w:p>
      <w:pPr/>
      <w:r>
        <w:t>When people hear that a culture or subculture is disappearing, they often picture costumes, rituals, buildings, or tools. Those are important, but they are only the visible layer. What disappears beneath them is often even more important.</w:t>
      </w:r>
    </w:p>
    <w:p>
      <w:pPr/>
      <w:r>
        <w:t>A disappearing world contains relationships, categories, loyalties, tensions, and memory. It contains what counts as honorable, shameful, sacred, ordinary, dangerous, and beautiful. It contains humor and insult. It contains child-rearing instincts, stories about origin and destiny, methods of repair after conflict, and expectations about what a good life looks like.</w:t>
      </w:r>
    </w:p>
    <w:p>
      <w:pPr/>
      <w:r>
        <w:t>When a world fades, its members may still survive as individuals, but the shared structure around them weakens. That can create grief, fragmentation, confusion, and identity loss. It can also create hybrid worlds in which pieces remain but no longer fit together in the old way. Documenting these transitions honestly is one of the great opportunities of the project.</w:t>
      </w:r>
    </w:p>
    <w:p>
      <w:pPr/>
      <w:r>
        <w:t>Documenting loss does not require turning cultures into museum pieces. Cultures evolve. Subcultures change. New forms emerge. The point is not to freeze people in place. The point is to preserve how a way of life understood itself at a given moment, especially when that moment may soon pass.</w:t>
      </w:r>
    </w:p>
    <w:p>
      <w:pPr/>
      <w:r>
        <w:t>A strong sellable book must help readers feel this. It must make clear that cultural documentation is not a hobby for distant observers. It is a form of human memory work.</w:t>
      </w:r>
    </w:p>
    <w:p>
      <w:r>
        <w:br w:type="page"/>
      </w:r>
    </w:p>
    <w:tbl>
      <w:tblPr>
        <w:tblStyle w:val="TableGrid"/>
        <w:tblW w:type="auto" w:w="0"/>
        <w:jc w:val="center"/>
        <w:tblLook w:firstColumn="1" w:firstRow="1" w:lastColumn="0" w:lastRow="0" w:noHBand="0" w:noVBand="1" w:val="04A0"/>
      </w:tblPr>
      <w:tblGrid>
        <w:gridCol w:w="4896"/>
        <w:gridCol w:w="4896"/>
      </w:tblGrid>
      <w:tr>
        <w:tc>
          <w:tcPr>
            <w:tcW w:type="dxa" w:w="4896"/>
            <w:vAlign w:val="center"/>
            <w:tcMar>
              <w:top w:w="90" w:type="dxa"/>
              <w:left w:w="90" w:type="dxa"/>
              <w:bottom w:w="90" w:type="dxa"/>
              <w:right w:w="90" w:type="dxa"/>
            </w:tcMar>
            <w:shd w:fill="DDE4EC"/>
          </w:tcPr>
          <w:p>
            <w:pPr>
              <w:jc w:val="center"/>
            </w:pPr>
            <w:r/>
            <w:r>
              <w:rPr>
                <w:rFonts w:ascii="Aptos" w:hAnsi="Aptos"/>
                <w:b/>
                <w:sz w:val="20"/>
              </w:rPr>
              <w:t>What fades</w:t>
            </w:r>
          </w:p>
        </w:tc>
        <w:tc>
          <w:tcPr>
            <w:tcW w:type="dxa" w:w="4896"/>
            <w:vAlign w:val="center"/>
            <w:tcMar>
              <w:top w:w="90" w:type="dxa"/>
              <w:left w:w="90" w:type="dxa"/>
              <w:bottom w:w="90" w:type="dxa"/>
              <w:right w:w="90" w:type="dxa"/>
            </w:tcMar>
            <w:shd w:fill="DDE4EC"/>
          </w:tcPr>
          <w:p>
            <w:pPr>
              <w:jc w:val="center"/>
            </w:pPr>
            <w:r/>
            <w:r>
              <w:rPr>
                <w:rFonts w:ascii="Aptos" w:hAnsi="Aptos"/>
                <w:b/>
                <w:sz w:val="20"/>
              </w:rPr>
              <w:t>What is often lost with it</w:t>
            </w:r>
          </w:p>
        </w:tc>
      </w:tr>
      <w:tr>
        <w:tc>
          <w:tcPr>
            <w:tcW w:type="dxa" w:w="4896"/>
            <w:vAlign w:val="center"/>
            <w:tcMar>
              <w:top w:w="90" w:type="dxa"/>
              <w:left w:w="90" w:type="dxa"/>
              <w:bottom w:w="90" w:type="dxa"/>
              <w:right w:w="90" w:type="dxa"/>
            </w:tcMar>
          </w:tcPr>
          <w:p>
            <w:pPr>
              <w:jc w:val="center"/>
            </w:pPr>
            <w:r/>
            <w:r>
              <w:rPr>
                <w:rFonts w:ascii="Aptos" w:hAnsi="Aptos"/>
                <w:b w:val="0"/>
                <w:sz w:val="19"/>
              </w:rPr>
              <w:t>Language patterns</w:t>
            </w:r>
          </w:p>
        </w:tc>
        <w:tc>
          <w:tcPr>
            <w:tcW w:type="dxa" w:w="4896"/>
            <w:vAlign w:val="center"/>
            <w:tcMar>
              <w:top w:w="90" w:type="dxa"/>
              <w:left w:w="90" w:type="dxa"/>
              <w:bottom w:w="90" w:type="dxa"/>
              <w:right w:w="90" w:type="dxa"/>
            </w:tcMar>
          </w:tcPr>
          <w:p>
            <w:r/>
            <w:r>
              <w:rPr>
                <w:rFonts w:ascii="Aptos" w:hAnsi="Aptos"/>
                <w:b w:val="0"/>
                <w:sz w:val="19"/>
              </w:rPr>
              <w:t>Nuance, worldview, humor, moral emphasis, ways of categorizing experience</w:t>
            </w:r>
          </w:p>
        </w:tc>
      </w:tr>
      <w:tr>
        <w:tc>
          <w:tcPr>
            <w:tcW w:type="dxa" w:w="4896"/>
            <w:vAlign w:val="center"/>
            <w:tcMar>
              <w:top w:w="90" w:type="dxa"/>
              <w:left w:w="90" w:type="dxa"/>
              <w:bottom w:w="90" w:type="dxa"/>
              <w:right w:w="90" w:type="dxa"/>
            </w:tcMar>
          </w:tcPr>
          <w:p>
            <w:pPr>
              <w:jc w:val="center"/>
            </w:pPr>
            <w:r/>
            <w:r>
              <w:rPr>
                <w:rFonts w:ascii="Aptos" w:hAnsi="Aptos"/>
                <w:b w:val="0"/>
                <w:sz w:val="19"/>
              </w:rPr>
              <w:t>Artifacts and tools</w:t>
            </w:r>
          </w:p>
        </w:tc>
        <w:tc>
          <w:tcPr>
            <w:tcW w:type="dxa" w:w="4896"/>
            <w:vAlign w:val="center"/>
            <w:tcMar>
              <w:top w:w="90" w:type="dxa"/>
              <w:left w:w="90" w:type="dxa"/>
              <w:bottom w:w="90" w:type="dxa"/>
              <w:right w:w="90" w:type="dxa"/>
            </w:tcMar>
          </w:tcPr>
          <w:p>
            <w:r/>
            <w:r>
              <w:rPr>
                <w:rFonts w:ascii="Aptos" w:hAnsi="Aptos"/>
                <w:b w:val="0"/>
                <w:sz w:val="19"/>
              </w:rPr>
              <w:t>Embodied skill, craft knowledge, material history, practical ingenuity</w:t>
            </w:r>
          </w:p>
        </w:tc>
      </w:tr>
      <w:tr>
        <w:tc>
          <w:tcPr>
            <w:tcW w:type="dxa" w:w="4896"/>
            <w:vAlign w:val="center"/>
            <w:tcMar>
              <w:top w:w="90" w:type="dxa"/>
              <w:left w:w="90" w:type="dxa"/>
              <w:bottom w:w="90" w:type="dxa"/>
              <w:right w:w="90" w:type="dxa"/>
            </w:tcMar>
          </w:tcPr>
          <w:p>
            <w:pPr>
              <w:jc w:val="center"/>
            </w:pPr>
            <w:r/>
            <w:r>
              <w:rPr>
                <w:rFonts w:ascii="Aptos" w:hAnsi="Aptos"/>
                <w:b w:val="0"/>
                <w:sz w:val="19"/>
              </w:rPr>
              <w:t>Rituals and gatherings</w:t>
            </w:r>
          </w:p>
        </w:tc>
        <w:tc>
          <w:tcPr>
            <w:tcW w:type="dxa" w:w="4896"/>
            <w:vAlign w:val="center"/>
            <w:tcMar>
              <w:top w:w="90" w:type="dxa"/>
              <w:left w:w="90" w:type="dxa"/>
              <w:bottom w:w="90" w:type="dxa"/>
              <w:right w:w="90" w:type="dxa"/>
            </w:tcMar>
          </w:tcPr>
          <w:p>
            <w:r/>
            <w:r>
              <w:rPr>
                <w:rFonts w:ascii="Aptos" w:hAnsi="Aptos"/>
                <w:b w:val="0"/>
                <w:sz w:val="19"/>
              </w:rPr>
              <w:t>Shared identity, belonging, conflict repair, intergenerational continuity</w:t>
            </w:r>
          </w:p>
        </w:tc>
      </w:tr>
      <w:tr>
        <w:tc>
          <w:tcPr>
            <w:tcW w:type="dxa" w:w="4896"/>
            <w:vAlign w:val="center"/>
            <w:tcMar>
              <w:top w:w="90" w:type="dxa"/>
              <w:left w:w="90" w:type="dxa"/>
              <w:bottom w:w="90" w:type="dxa"/>
              <w:right w:w="90" w:type="dxa"/>
            </w:tcMar>
          </w:tcPr>
          <w:p>
            <w:pPr>
              <w:jc w:val="center"/>
            </w:pPr>
            <w:r/>
            <w:r>
              <w:rPr>
                <w:rFonts w:ascii="Aptos" w:hAnsi="Aptos"/>
                <w:b w:val="0"/>
                <w:sz w:val="19"/>
              </w:rPr>
              <w:t>Local hierarchies and roles</w:t>
            </w:r>
          </w:p>
        </w:tc>
        <w:tc>
          <w:tcPr>
            <w:tcW w:type="dxa" w:w="4896"/>
            <w:vAlign w:val="center"/>
            <w:tcMar>
              <w:top w:w="90" w:type="dxa"/>
              <w:left w:w="90" w:type="dxa"/>
              <w:bottom w:w="90" w:type="dxa"/>
              <w:right w:w="90" w:type="dxa"/>
            </w:tcMar>
          </w:tcPr>
          <w:p>
            <w:r/>
            <w:r>
              <w:rPr>
                <w:rFonts w:ascii="Aptos" w:hAnsi="Aptos"/>
                <w:b w:val="0"/>
                <w:sz w:val="19"/>
              </w:rPr>
              <w:t>Clarity about authority, duty, mentorship, apprenticeship, social order</w:t>
            </w:r>
          </w:p>
        </w:tc>
      </w:tr>
      <w:tr>
        <w:tc>
          <w:tcPr>
            <w:tcW w:type="dxa" w:w="4896"/>
            <w:vAlign w:val="center"/>
            <w:tcMar>
              <w:top w:w="90" w:type="dxa"/>
              <w:left w:w="90" w:type="dxa"/>
              <w:bottom w:w="90" w:type="dxa"/>
              <w:right w:w="90" w:type="dxa"/>
            </w:tcMar>
          </w:tcPr>
          <w:p>
            <w:pPr>
              <w:jc w:val="center"/>
            </w:pPr>
            <w:r/>
            <w:r>
              <w:rPr>
                <w:rFonts w:ascii="Aptos" w:hAnsi="Aptos"/>
                <w:b w:val="0"/>
                <w:sz w:val="19"/>
              </w:rPr>
              <w:t>Street-level subcultural codes</w:t>
            </w:r>
          </w:p>
        </w:tc>
        <w:tc>
          <w:tcPr>
            <w:tcW w:type="dxa" w:w="4896"/>
            <w:vAlign w:val="center"/>
            <w:tcMar>
              <w:top w:w="90" w:type="dxa"/>
              <w:left w:w="90" w:type="dxa"/>
              <w:bottom w:w="90" w:type="dxa"/>
              <w:right w:w="90" w:type="dxa"/>
            </w:tcMar>
          </w:tcPr>
          <w:p>
            <w:r/>
            <w:r>
              <w:rPr>
                <w:rFonts w:ascii="Aptos" w:hAnsi="Aptos"/>
                <w:b w:val="0"/>
                <w:sz w:val="19"/>
              </w:rPr>
              <w:t>Trust signals, caution markers, symbolic belonging, survival knowledge</w:t>
            </w:r>
          </w:p>
        </w:tc>
      </w:tr>
      <w:tr>
        <w:tc>
          <w:tcPr>
            <w:tcW w:type="dxa" w:w="4896"/>
            <w:vAlign w:val="center"/>
            <w:tcMar>
              <w:top w:w="90" w:type="dxa"/>
              <w:left w:w="90" w:type="dxa"/>
              <w:bottom w:w="90" w:type="dxa"/>
              <w:right w:w="90" w:type="dxa"/>
            </w:tcMar>
          </w:tcPr>
          <w:p>
            <w:pPr>
              <w:jc w:val="center"/>
            </w:pPr>
            <w:r/>
            <w:r>
              <w:rPr>
                <w:rFonts w:ascii="Aptos" w:hAnsi="Aptos"/>
                <w:b w:val="0"/>
                <w:sz w:val="19"/>
              </w:rPr>
              <w:t>Songs, sayings, stories</w:t>
            </w:r>
          </w:p>
        </w:tc>
        <w:tc>
          <w:tcPr>
            <w:tcW w:type="dxa" w:w="4896"/>
            <w:vAlign w:val="center"/>
            <w:tcMar>
              <w:top w:w="90" w:type="dxa"/>
              <w:left w:w="90" w:type="dxa"/>
              <w:bottom w:w="90" w:type="dxa"/>
              <w:right w:w="90" w:type="dxa"/>
            </w:tcMar>
          </w:tcPr>
          <w:p>
            <w:r/>
            <w:r>
              <w:rPr>
                <w:rFonts w:ascii="Aptos" w:hAnsi="Aptos"/>
                <w:b w:val="0"/>
                <w:sz w:val="19"/>
              </w:rPr>
              <w:t>Moral memory, emotional tone, identity continuity, collective imagination</w:t>
            </w:r>
          </w:p>
        </w:tc>
      </w:tr>
    </w:tbl>
    <w:p/>
    <w:p>
      <w:r>
        <w:br w:type="page"/>
      </w:r>
    </w:p>
    <w:p>
      <w:pPr>
        <w:pStyle w:val="Heading1"/>
      </w:pPr>
      <w:r>
        <w:t>3. The Project Lens: Culture, Psychology, and Human Meaning</w:t>
      </w:r>
    </w:p>
    <w:p>
      <w:pPr>
        <w:pStyle w:val="SubtitleCustom"/>
      </w:pPr>
      <w:r>
        <w:t>Why this project is unusually well-positioned to notice both behavior and structure.</w:t>
      </w:r>
    </w:p>
    <w:p>
      <w:pPr/>
      <w:r>
        <w:t>The project’s founder background matters because it creates a particular lens. The website explains that the project grew out of years of listening to people in counseling, consulting, and real-world conversation. That background makes the project attentive not only to what people say, but to what shapes what they say: trauma, incentives, group belonging, rejection, grief, adaptation, identity, and social structure.</w:t>
      </w:r>
    </w:p>
    <w:p>
      <w:pPr/>
      <w:r>
        <w:t>That lens is useful because every culture has both visible and invisible parts. The visible parts include dress, space, ritual, objects, language, and community events. The invisible parts include rules about trust, status, shame, loyalty, storytelling, leadership, fear, and what emotions are allowed to be shown publicly.</w:t>
      </w:r>
    </w:p>
    <w:p>
      <w:pPr/>
      <w:r>
        <w:t>An observer who sees only surface symbols can make a beautiful but shallow documentary. An observer who listens only for pathology can make a clinical but reductionistic portrait. The stronger path is integration. A project like this can ask: What does this group do? What does it believe? What does it protect? What wounds does it carry? What pressures shape it? What internal contradictions does it live with? What forms of beauty has it created in response?</w:t>
      </w:r>
    </w:p>
    <w:p>
      <w:pPr/>
      <w:r>
        <w:t>This is part of what makes the Vanishing Worlds Project potentially compelling as a sellable book and as a long-term brand. It is not merely travel content. It is not merely anthropology-lite. It is not merely a visual archive. It is an attempt to document human worlds with psychological depth and narrative respect.</w:t>
      </w:r>
    </w:p>
    <w:p>
      <w:pPr/>
      <w:r>
        <w:t>The project should therefore be presented not just as exploration, but as a serious act of listening, pattern recognition, and preservation.</w:t>
      </w:r>
    </w:p>
    <w:p>
      <w:pPr>
        <w:pStyle w:val="ListBullet"/>
        <w:spacing w:after="100"/>
      </w:pPr>
      <w:r>
        <w:t>Culture shapes identity, but identity also reshapes culture.</w:t>
      </w:r>
    </w:p>
    <w:p>
      <w:pPr>
        <w:pStyle w:val="ListBullet"/>
        <w:spacing w:after="100"/>
      </w:pPr>
      <w:r>
        <w:t>Subcultures often arise as adaptive responses to neglect, exclusion, passion, risk, or belonging needs.</w:t>
      </w:r>
    </w:p>
    <w:p>
      <w:pPr>
        <w:pStyle w:val="ListBullet"/>
        <w:spacing w:after="100"/>
      </w:pPr>
      <w:r>
        <w:t>Every group has both explicit rules and unspoken rules.</w:t>
      </w:r>
    </w:p>
    <w:p>
      <w:pPr>
        <w:pStyle w:val="ListBullet"/>
        <w:spacing w:after="100"/>
      </w:pPr>
      <w:r>
        <w:t>Listening deeply reveals values that cannot be inferred from aesthetics alone.</w:t>
      </w:r>
    </w:p>
    <w:p>
      <w:pPr>
        <w:pStyle w:val="ListBullet"/>
        <w:spacing w:after="100"/>
      </w:pPr>
      <w:r>
        <w:t>Human meaning lives in stories, symbols, routines, and repeated social responses.</w:t>
      </w:r>
    </w:p>
    <w:p>
      <w:r>
        <w:br w:type="page"/>
      </w:r>
    </w:p>
    <w:p>
      <w:pPr>
        <w:pStyle w:val="Heading1"/>
      </w:pPr>
      <w:r>
        <w:t>4. How People Can Help</w:t>
      </w:r>
    </w:p>
    <w:p>
      <w:pPr>
        <w:pStyle w:val="SubtitleCustom"/>
      </w:pPr>
      <w:r>
        <w:t>A support chapter that makes the project easy to join without making support feel vague.</w:t>
      </w:r>
    </w:p>
    <w:p>
      <w:pPr/>
      <w:r>
        <w:t>A mission grows when people know where they fit. One of the biggest mistakes in supporter-facing books is failing to convert admiration into action. Readers may love the idea of the project and still not know what to do next. This chapter solves that problem.</w:t>
      </w:r>
    </w:p>
    <w:p>
      <w:pPr/>
      <w:r>
        <w:t>People can help in at least four broad ways: by funding the work, by strengthening the work, by extending the reach of the work, and by protecting the integrity of the work. Each deserves to be explained clearly.</w:t>
      </w:r>
    </w:p>
    <w:p>
      <w:pPr/>
      <w:r>
        <w:t>Funding support makes travel, equipment, recording, transcription, translation, and site maintenance possible. Strengthening support includes introductions, local contacts, historical leads, contextual knowledge, and feedback that improves the quality of fieldwork. Reach support includes sharing the mission, posting field notes, inviting interviews, and connecting the project with educators, journalists, archivists, or community leads. Integrity support includes reminding the project to move slowly, verify context, protect dignity, and preserve complexity.</w:t>
      </w:r>
    </w:p>
    <w:p>
      <w:pPr/>
      <w:r>
        <w:t>The more concrete the support pathways are, the more likely a reader is to move. This book should therefore include practical supporter options that work for people with different resources and levels of involvement.</w:t>
      </w:r>
    </w:p>
    <w:p>
      <w:r>
        <w:br w:type="page"/>
      </w:r>
    </w:p>
    <w:tbl>
      <w:tblPr>
        <w:tblStyle w:val="TableGrid"/>
        <w:tblW w:type="auto" w:w="0"/>
        <w:jc w:val="center"/>
        <w:tblLook w:firstColumn="1" w:firstRow="1" w:lastColumn="0" w:lastRow="0" w:noHBand="0" w:noVBand="1" w:val="04A0"/>
      </w:tblPr>
      <w:tblGrid>
        <w:gridCol w:w="4896"/>
        <w:gridCol w:w="4896"/>
      </w:tblGrid>
      <w:tr>
        <w:tc>
          <w:tcPr>
            <w:tcW w:type="dxa" w:w="4896"/>
            <w:vAlign w:val="center"/>
            <w:tcMar>
              <w:top w:w="90" w:type="dxa"/>
              <w:left w:w="90" w:type="dxa"/>
              <w:bottom w:w="90" w:type="dxa"/>
              <w:right w:w="90" w:type="dxa"/>
            </w:tcMar>
            <w:shd w:fill="DDE4EC"/>
          </w:tcPr>
          <w:p>
            <w:pPr>
              <w:jc w:val="center"/>
            </w:pPr>
            <w:r/>
            <w:r>
              <w:rPr>
                <w:rFonts w:ascii="Aptos" w:hAnsi="Aptos"/>
                <w:b/>
                <w:sz w:val="20"/>
              </w:rPr>
              <w:t>Support type</w:t>
            </w:r>
          </w:p>
        </w:tc>
        <w:tc>
          <w:tcPr>
            <w:tcW w:type="dxa" w:w="4896"/>
            <w:vAlign w:val="center"/>
            <w:tcMar>
              <w:top w:w="90" w:type="dxa"/>
              <w:left w:w="90" w:type="dxa"/>
              <w:bottom w:w="90" w:type="dxa"/>
              <w:right w:w="90" w:type="dxa"/>
            </w:tcMar>
            <w:shd w:fill="DDE4EC"/>
          </w:tcPr>
          <w:p>
            <w:pPr>
              <w:jc w:val="center"/>
            </w:pPr>
            <w:r/>
            <w:r>
              <w:rPr>
                <w:rFonts w:ascii="Aptos" w:hAnsi="Aptos"/>
                <w:b/>
                <w:sz w:val="20"/>
              </w:rPr>
              <w:t>Examples of how someone can help</w:t>
            </w:r>
          </w:p>
        </w:tc>
      </w:tr>
      <w:tr>
        <w:tc>
          <w:tcPr>
            <w:tcW w:type="dxa" w:w="4896"/>
            <w:vAlign w:val="center"/>
            <w:tcMar>
              <w:top w:w="90" w:type="dxa"/>
              <w:left w:w="90" w:type="dxa"/>
              <w:bottom w:w="90" w:type="dxa"/>
              <w:right w:w="90" w:type="dxa"/>
            </w:tcMar>
          </w:tcPr>
          <w:p>
            <w:pPr>
              <w:jc w:val="center"/>
            </w:pPr>
            <w:r/>
            <w:r>
              <w:rPr>
                <w:rFonts w:ascii="Aptos" w:hAnsi="Aptos"/>
                <w:b w:val="0"/>
                <w:sz w:val="19"/>
              </w:rPr>
              <w:t>Financial</w:t>
            </w:r>
          </w:p>
        </w:tc>
        <w:tc>
          <w:tcPr>
            <w:tcW w:type="dxa" w:w="4896"/>
            <w:vAlign w:val="center"/>
            <w:tcMar>
              <w:top w:w="90" w:type="dxa"/>
              <w:left w:w="90" w:type="dxa"/>
              <w:bottom w:w="90" w:type="dxa"/>
              <w:right w:w="90" w:type="dxa"/>
            </w:tcMar>
          </w:tcPr>
          <w:p>
            <w:r/>
            <w:r>
              <w:rPr>
                <w:rFonts w:ascii="Aptos" w:hAnsi="Aptos"/>
                <w:b w:val="0"/>
                <w:sz w:val="19"/>
              </w:rPr>
              <w:t>Donate, sponsor a field trip, underwrite editing, fund archival storage, support translation or transcription</w:t>
            </w:r>
          </w:p>
        </w:tc>
      </w:tr>
      <w:tr>
        <w:tc>
          <w:tcPr>
            <w:tcW w:type="dxa" w:w="4896"/>
            <w:vAlign w:val="center"/>
            <w:tcMar>
              <w:top w:w="90" w:type="dxa"/>
              <w:left w:w="90" w:type="dxa"/>
              <w:bottom w:w="90" w:type="dxa"/>
              <w:right w:w="90" w:type="dxa"/>
            </w:tcMar>
          </w:tcPr>
          <w:p>
            <w:pPr>
              <w:jc w:val="center"/>
            </w:pPr>
            <w:r/>
            <w:r>
              <w:rPr>
                <w:rFonts w:ascii="Aptos" w:hAnsi="Aptos"/>
                <w:b w:val="0"/>
                <w:sz w:val="19"/>
              </w:rPr>
              <w:t>Relational</w:t>
            </w:r>
          </w:p>
        </w:tc>
        <w:tc>
          <w:tcPr>
            <w:tcW w:type="dxa" w:w="4896"/>
            <w:vAlign w:val="center"/>
            <w:tcMar>
              <w:top w:w="90" w:type="dxa"/>
              <w:left w:w="90" w:type="dxa"/>
              <w:bottom w:w="90" w:type="dxa"/>
              <w:right w:w="90" w:type="dxa"/>
            </w:tcMar>
          </w:tcPr>
          <w:p>
            <w:r/>
            <w:r>
              <w:rPr>
                <w:rFonts w:ascii="Aptos" w:hAnsi="Aptos"/>
                <w:b w:val="0"/>
                <w:sz w:val="19"/>
              </w:rPr>
              <w:t>Introduce the project to communities, historians, researchers, artists, or local guides</w:t>
            </w:r>
          </w:p>
        </w:tc>
      </w:tr>
      <w:tr>
        <w:tc>
          <w:tcPr>
            <w:tcW w:type="dxa" w:w="4896"/>
            <w:vAlign w:val="center"/>
            <w:tcMar>
              <w:top w:w="90" w:type="dxa"/>
              <w:left w:w="90" w:type="dxa"/>
              <w:bottom w:w="90" w:type="dxa"/>
              <w:right w:w="90" w:type="dxa"/>
            </w:tcMar>
          </w:tcPr>
          <w:p>
            <w:pPr>
              <w:jc w:val="center"/>
            </w:pPr>
            <w:r/>
            <w:r>
              <w:rPr>
                <w:rFonts w:ascii="Aptos" w:hAnsi="Aptos"/>
                <w:b w:val="0"/>
                <w:sz w:val="19"/>
              </w:rPr>
              <w:t>Creative</w:t>
            </w:r>
          </w:p>
        </w:tc>
        <w:tc>
          <w:tcPr>
            <w:tcW w:type="dxa" w:w="4896"/>
            <w:vAlign w:val="center"/>
            <w:tcMar>
              <w:top w:w="90" w:type="dxa"/>
              <w:left w:w="90" w:type="dxa"/>
              <w:bottom w:w="90" w:type="dxa"/>
              <w:right w:w="90" w:type="dxa"/>
            </w:tcMar>
          </w:tcPr>
          <w:p>
            <w:r/>
            <w:r>
              <w:rPr>
                <w:rFonts w:ascii="Aptos" w:hAnsi="Aptos"/>
                <w:b w:val="0"/>
                <w:sz w:val="19"/>
              </w:rPr>
              <w:t>Contribute photography, sound design, editing help, translation, or mapmaking</w:t>
            </w:r>
          </w:p>
        </w:tc>
      </w:tr>
      <w:tr>
        <w:tc>
          <w:tcPr>
            <w:tcW w:type="dxa" w:w="4896"/>
            <w:vAlign w:val="center"/>
            <w:tcMar>
              <w:top w:w="90" w:type="dxa"/>
              <w:left w:w="90" w:type="dxa"/>
              <w:bottom w:w="90" w:type="dxa"/>
              <w:right w:w="90" w:type="dxa"/>
            </w:tcMar>
          </w:tcPr>
          <w:p>
            <w:pPr>
              <w:jc w:val="center"/>
            </w:pPr>
            <w:r/>
            <w:r>
              <w:rPr>
                <w:rFonts w:ascii="Aptos" w:hAnsi="Aptos"/>
                <w:b w:val="0"/>
                <w:sz w:val="19"/>
              </w:rPr>
              <w:t>Research</w:t>
            </w:r>
          </w:p>
        </w:tc>
        <w:tc>
          <w:tcPr>
            <w:tcW w:type="dxa" w:w="4896"/>
            <w:vAlign w:val="center"/>
            <w:tcMar>
              <w:top w:w="90" w:type="dxa"/>
              <w:left w:w="90" w:type="dxa"/>
              <w:bottom w:w="90" w:type="dxa"/>
              <w:right w:w="90" w:type="dxa"/>
            </w:tcMar>
          </w:tcPr>
          <w:p>
            <w:r/>
            <w:r>
              <w:rPr>
                <w:rFonts w:ascii="Aptos" w:hAnsi="Aptos"/>
                <w:b w:val="0"/>
                <w:sz w:val="19"/>
              </w:rPr>
              <w:t>Share background reading, historical leads, and artifact information</w:t>
            </w:r>
          </w:p>
        </w:tc>
      </w:tr>
      <w:tr>
        <w:tc>
          <w:tcPr>
            <w:tcW w:type="dxa" w:w="4896"/>
            <w:vAlign w:val="center"/>
            <w:tcMar>
              <w:top w:w="90" w:type="dxa"/>
              <w:left w:w="90" w:type="dxa"/>
              <w:bottom w:w="90" w:type="dxa"/>
              <w:right w:w="90" w:type="dxa"/>
            </w:tcMar>
          </w:tcPr>
          <w:p>
            <w:pPr>
              <w:jc w:val="center"/>
            </w:pPr>
            <w:r/>
            <w:r>
              <w:rPr>
                <w:rFonts w:ascii="Aptos" w:hAnsi="Aptos"/>
                <w:b w:val="0"/>
                <w:sz w:val="19"/>
              </w:rPr>
              <w:t>Operational</w:t>
            </w:r>
          </w:p>
        </w:tc>
        <w:tc>
          <w:tcPr>
            <w:tcW w:type="dxa" w:w="4896"/>
            <w:vAlign w:val="center"/>
            <w:tcMar>
              <w:top w:w="90" w:type="dxa"/>
              <w:left w:w="90" w:type="dxa"/>
              <w:bottom w:w="90" w:type="dxa"/>
              <w:right w:w="90" w:type="dxa"/>
            </w:tcMar>
          </w:tcPr>
          <w:p>
            <w:r/>
            <w:r>
              <w:rPr>
                <w:rFonts w:ascii="Aptos" w:hAnsi="Aptos"/>
                <w:b w:val="0"/>
                <w:sz w:val="19"/>
              </w:rPr>
              <w:t>Help with scheduling, metadata entry, and newsletter support</w:t>
            </w:r>
          </w:p>
        </w:tc>
      </w:tr>
      <w:tr>
        <w:tc>
          <w:tcPr>
            <w:tcW w:type="dxa" w:w="4896"/>
            <w:vAlign w:val="center"/>
            <w:tcMar>
              <w:top w:w="90" w:type="dxa"/>
              <w:left w:w="90" w:type="dxa"/>
              <w:bottom w:w="90" w:type="dxa"/>
              <w:right w:w="90" w:type="dxa"/>
            </w:tcMar>
          </w:tcPr>
          <w:p>
            <w:pPr>
              <w:jc w:val="center"/>
            </w:pPr>
            <w:r/>
            <w:r>
              <w:rPr>
                <w:rFonts w:ascii="Aptos" w:hAnsi="Aptos"/>
                <w:b w:val="0"/>
                <w:sz w:val="19"/>
              </w:rPr>
              <w:t>Amplification</w:t>
            </w:r>
          </w:p>
        </w:tc>
        <w:tc>
          <w:tcPr>
            <w:tcW w:type="dxa" w:w="4896"/>
            <w:vAlign w:val="center"/>
            <w:tcMar>
              <w:top w:w="90" w:type="dxa"/>
              <w:left w:w="90" w:type="dxa"/>
              <w:bottom w:w="90" w:type="dxa"/>
              <w:right w:w="90" w:type="dxa"/>
            </w:tcMar>
          </w:tcPr>
          <w:p>
            <w:r/>
            <w:r>
              <w:rPr>
                <w:rFonts w:ascii="Aptos" w:hAnsi="Aptos"/>
                <w:b w:val="0"/>
                <w:sz w:val="19"/>
              </w:rPr>
              <w:t>Share posts, host a conversation, recommend the project, or connect it to aligned audiences</w:t>
            </w:r>
          </w:p>
        </w:tc>
      </w:tr>
    </w:tbl>
    <w:p/>
    <w:p>
      <w:r>
        <w:br w:type="page"/>
      </w:r>
    </w:p>
    <w:p>
      <w:pPr>
        <w:pStyle w:val="Heading1"/>
      </w:pPr>
      <w:r>
        <w:t>5. Choosing a Community and Preparing for Fieldwork</w:t>
      </w:r>
    </w:p>
    <w:p>
      <w:pPr>
        <w:pStyle w:val="SubtitleCustom"/>
      </w:pPr>
      <w:r>
        <w:t>Fieldwork begins before the first interview. Preparation is part of respect.</w:t>
      </w:r>
    </w:p>
    <w:p>
      <w:pPr/>
      <w:r>
        <w:t>Not every community is ready for documentation at the moment an outsider arrives. Some groups are exhausted by extraction. Some have been misrepresented. Some are dealing with active danger. Some require introductions, approvals, or relational trust that can take months to develop. One mark of maturity in a project like this is the willingness to delay documentation until the conditions are right.</w:t>
      </w:r>
    </w:p>
    <w:p>
      <w:pPr/>
      <w:r>
        <w:t>Preparation starts with asking better questions. Why this community now? What appears to be changing? Who is already documenting them? What misunderstandings are common? What risks might they face if they are made more visible? What permissions or gatekeepers matter? Are there people inside the community who should shape the framing before any camera is raised?</w:t>
      </w:r>
    </w:p>
    <w:p>
      <w:pPr/>
      <w:r>
        <w:t>Good preparation includes logistics, but it also includes psychological posture. The fieldworker should arrive ready to learn, not ready to prove intelligence. Ready to adapt, not ready to force a script. Ready to hear contradictions, not ready to force certainty.</w:t>
      </w:r>
    </w:p>
    <w:p>
      <w:pPr/>
      <w:r>
        <w:t>Because this project may cover both traditional cultures and modern subcultures, preparation must flex. A mountain village, a disappearing trade community, a migrant neighborhood, an underground scene, and a survival-based street culture each require different forms of entry, safety awareness, and ethical caution.</w:t>
      </w:r>
    </w:p>
    <w:p>
      <w:pPr>
        <w:pStyle w:val="ListBullet"/>
        <w:spacing w:after="100"/>
      </w:pPr>
      <w:r>
        <w:t>Research history before arrival, but do not confuse research with understanding.</w:t>
      </w:r>
    </w:p>
    <w:p>
      <w:pPr>
        <w:pStyle w:val="ListBullet"/>
        <w:spacing w:after="100"/>
      </w:pPr>
      <w:r>
        <w:t>Identify local guides, translators, mediators, or trusted insiders where possible.</w:t>
      </w:r>
    </w:p>
    <w:p>
      <w:pPr>
        <w:pStyle w:val="ListBullet"/>
        <w:spacing w:after="100"/>
      </w:pPr>
      <w:r>
        <w:t>Clarify what documentation methods are appropriate: written notes, audio, photography, video, or object cataloging.</w:t>
      </w:r>
    </w:p>
    <w:p>
      <w:pPr>
        <w:pStyle w:val="ListBullet"/>
        <w:spacing w:after="100"/>
      </w:pPr>
      <w:r>
        <w:t>Prepare consent language that is plain, honest, and adaptable.</w:t>
      </w:r>
    </w:p>
    <w:p>
      <w:pPr>
        <w:pStyle w:val="ListBullet"/>
        <w:spacing w:after="100"/>
      </w:pPr>
      <w:r>
        <w:t>Carry equipment simply; overproduction can damage trust.</w:t>
      </w:r>
    </w:p>
    <w:p>
      <w:pPr>
        <w:pStyle w:val="ListBullet"/>
        <w:spacing w:after="100"/>
      </w:pPr>
      <w:r>
        <w:t>Plan for aftercare: backups, gratitude, follow-up, and context verification.</w:t>
      </w:r>
    </w:p>
    <w:p>
      <w:r>
        <w:br w:type="page"/>
      </w:r>
    </w:p>
    <w:p>
      <w:pPr>
        <w:pStyle w:val="Heading1"/>
      </w:pPr>
      <w:r>
        <w:t>6. The Interview Process: Listening Without Taking</w:t>
      </w:r>
    </w:p>
    <w:p>
      <w:pPr>
        <w:pStyle w:val="SubtitleCustom"/>
      </w:pPr>
      <w:r>
        <w:t>How to conduct interviews that are humane, revealing, and respectful.</w:t>
      </w:r>
    </w:p>
    <w:p>
      <w:pPr/>
      <w:r>
        <w:t>The interview process is one of the central engines of the Vanishing Worlds Project. Done badly, interviews become extraction: a stranger takes emotion, narrative, and cultural detail in exchange for attention. Done well, interviews become mutual recognition: a person feels seen, a story is preserved, and a larger public learns with more humility.</w:t>
      </w:r>
    </w:p>
    <w:p>
      <w:pPr/>
      <w:r>
        <w:t>The best interview process usually unfolds in phases. First comes the approach. This is where tone matters. A person must understand who you are, why you are there, what you are doing, and what control they have. Second comes relational grounding. Before deep questions, there should usually be ordinary conversation, environmental noticing, and enough mutual orientation for the person to decide whether they want to proceed. Third comes the interview itself. Fourth comes closure, gratitude, clarification, and permission for future contact or review when appropriate.</w:t>
      </w:r>
    </w:p>
    <w:p>
      <w:pPr/>
      <w:r>
        <w:t>The interviewer should aim for narrative richness rather than forced confession. Good questions invite memory, sequence, meaning, contrast, and texture. They do not force a person to perform trauma for the camera. They do not treat suffering as the only interesting thing about a community. They also do not sanitize difficulty. Respect and honesty can coexist.</w:t>
      </w:r>
    </w:p>
    <w:p>
      <w:pPr/>
      <w:r>
        <w:t>The homelessness field note on the project website shows why this matters. What emerged was not just hardship, but a survival-based culture with unspoken rules, hierarchies, territorial boundaries, protective behaviors, and complex emotional life. That kind of insight does not come from a checklist alone. It comes from patience, humility, and the willingness to hear what social distance normally hides.</w:t>
      </w:r>
    </w:p>
    <w:p>
      <w:pPr/>
      <w:r>
        <w:t>Interviewing for the project should therefore be both structured and alive. Have a framework. Hold it lightly. Follow the human being, not just the questionnaire.</w:t>
      </w:r>
    </w:p>
    <w:p>
      <w:r>
        <w:br w:type="page"/>
      </w:r>
    </w:p>
    <w:tbl>
      <w:tblPr>
        <w:tblStyle w:val="TableGrid"/>
        <w:tblW w:type="auto" w:w="0"/>
        <w:jc w:val="center"/>
        <w:tblLook w:firstColumn="1" w:firstRow="1" w:lastColumn="0" w:lastRow="0" w:noHBand="0" w:noVBand="1" w:val="04A0"/>
      </w:tblPr>
      <w:tblGrid>
        <w:gridCol w:w="4896"/>
        <w:gridCol w:w="4896"/>
      </w:tblGrid>
      <w:tr>
        <w:tc>
          <w:tcPr>
            <w:tcW w:type="dxa" w:w="4896"/>
            <w:vAlign w:val="center"/>
            <w:tcMar>
              <w:top w:w="90" w:type="dxa"/>
              <w:left w:w="90" w:type="dxa"/>
              <w:bottom w:w="90" w:type="dxa"/>
              <w:right w:w="90" w:type="dxa"/>
            </w:tcMar>
            <w:shd w:fill="DDE4EC"/>
          </w:tcPr>
          <w:p>
            <w:pPr>
              <w:jc w:val="center"/>
            </w:pPr>
            <w:r/>
            <w:r>
              <w:rPr>
                <w:rFonts w:ascii="Aptos" w:hAnsi="Aptos"/>
                <w:b/>
                <w:sz w:val="20"/>
              </w:rPr>
              <w:t>Interview phase</w:t>
            </w:r>
          </w:p>
        </w:tc>
        <w:tc>
          <w:tcPr>
            <w:tcW w:type="dxa" w:w="4896"/>
            <w:vAlign w:val="center"/>
            <w:tcMar>
              <w:top w:w="90" w:type="dxa"/>
              <w:left w:w="90" w:type="dxa"/>
              <w:bottom w:w="90" w:type="dxa"/>
              <w:right w:w="90" w:type="dxa"/>
            </w:tcMar>
            <w:shd w:fill="DDE4EC"/>
          </w:tcPr>
          <w:p>
            <w:pPr>
              <w:jc w:val="center"/>
            </w:pPr>
            <w:r/>
            <w:r>
              <w:rPr>
                <w:rFonts w:ascii="Aptos" w:hAnsi="Aptos"/>
                <w:b/>
                <w:sz w:val="20"/>
              </w:rPr>
              <w:t>What to do well</w:t>
            </w:r>
          </w:p>
        </w:tc>
      </w:tr>
      <w:tr>
        <w:tc>
          <w:tcPr>
            <w:tcW w:type="dxa" w:w="4896"/>
            <w:vAlign w:val="center"/>
            <w:tcMar>
              <w:top w:w="90" w:type="dxa"/>
              <w:left w:w="90" w:type="dxa"/>
              <w:bottom w:w="90" w:type="dxa"/>
              <w:right w:w="90" w:type="dxa"/>
            </w:tcMar>
          </w:tcPr>
          <w:p>
            <w:pPr>
              <w:jc w:val="center"/>
            </w:pPr>
            <w:r/>
            <w:r>
              <w:rPr>
                <w:rFonts w:ascii="Aptos" w:hAnsi="Aptos"/>
                <w:b w:val="0"/>
                <w:sz w:val="19"/>
              </w:rPr>
              <w:t>Approach</w:t>
            </w:r>
          </w:p>
        </w:tc>
        <w:tc>
          <w:tcPr>
            <w:tcW w:type="dxa" w:w="4896"/>
            <w:vAlign w:val="center"/>
            <w:tcMar>
              <w:top w:w="90" w:type="dxa"/>
              <w:left w:w="90" w:type="dxa"/>
              <w:bottom w:w="90" w:type="dxa"/>
              <w:right w:w="90" w:type="dxa"/>
            </w:tcMar>
          </w:tcPr>
          <w:p>
            <w:r/>
            <w:r>
              <w:rPr>
                <w:rFonts w:ascii="Aptos" w:hAnsi="Aptos"/>
                <w:b w:val="0"/>
                <w:sz w:val="19"/>
              </w:rPr>
              <w:t>Introduce yourself plainly, explain the project, state the purpose, and avoid pressure</w:t>
            </w:r>
          </w:p>
        </w:tc>
      </w:tr>
      <w:tr>
        <w:tc>
          <w:tcPr>
            <w:tcW w:type="dxa" w:w="4896"/>
            <w:vAlign w:val="center"/>
            <w:tcMar>
              <w:top w:w="90" w:type="dxa"/>
              <w:left w:w="90" w:type="dxa"/>
              <w:bottom w:w="90" w:type="dxa"/>
              <w:right w:w="90" w:type="dxa"/>
            </w:tcMar>
          </w:tcPr>
          <w:p>
            <w:pPr>
              <w:jc w:val="center"/>
            </w:pPr>
            <w:r/>
            <w:r>
              <w:rPr>
                <w:rFonts w:ascii="Aptos" w:hAnsi="Aptos"/>
                <w:b w:val="0"/>
                <w:sz w:val="19"/>
              </w:rPr>
              <w:t>Grounding</w:t>
            </w:r>
          </w:p>
        </w:tc>
        <w:tc>
          <w:tcPr>
            <w:tcW w:type="dxa" w:w="4896"/>
            <w:vAlign w:val="center"/>
            <w:tcMar>
              <w:top w:w="90" w:type="dxa"/>
              <w:left w:w="90" w:type="dxa"/>
              <w:bottom w:w="90" w:type="dxa"/>
              <w:right w:w="90" w:type="dxa"/>
            </w:tcMar>
          </w:tcPr>
          <w:p>
            <w:r/>
            <w:r>
              <w:rPr>
                <w:rFonts w:ascii="Aptos" w:hAnsi="Aptos"/>
                <w:b w:val="0"/>
                <w:sz w:val="19"/>
              </w:rPr>
              <w:t>Build comfort, notice environment, ask light context questions, check boundaries</w:t>
            </w:r>
          </w:p>
        </w:tc>
      </w:tr>
      <w:tr>
        <w:tc>
          <w:tcPr>
            <w:tcW w:type="dxa" w:w="4896"/>
            <w:vAlign w:val="center"/>
            <w:tcMar>
              <w:top w:w="90" w:type="dxa"/>
              <w:left w:w="90" w:type="dxa"/>
              <w:bottom w:w="90" w:type="dxa"/>
              <w:right w:w="90" w:type="dxa"/>
            </w:tcMar>
          </w:tcPr>
          <w:p>
            <w:pPr>
              <w:jc w:val="center"/>
            </w:pPr>
            <w:r/>
            <w:r>
              <w:rPr>
                <w:rFonts w:ascii="Aptos" w:hAnsi="Aptos"/>
                <w:b w:val="0"/>
                <w:sz w:val="19"/>
              </w:rPr>
              <w:t>Deepening</w:t>
            </w:r>
          </w:p>
        </w:tc>
        <w:tc>
          <w:tcPr>
            <w:tcW w:type="dxa" w:w="4896"/>
            <w:vAlign w:val="center"/>
            <w:tcMar>
              <w:top w:w="90" w:type="dxa"/>
              <w:left w:w="90" w:type="dxa"/>
              <w:bottom w:w="90" w:type="dxa"/>
              <w:right w:w="90" w:type="dxa"/>
            </w:tcMar>
          </w:tcPr>
          <w:p>
            <w:r/>
            <w:r>
              <w:rPr>
                <w:rFonts w:ascii="Aptos" w:hAnsi="Aptos"/>
                <w:b w:val="0"/>
                <w:sz w:val="19"/>
              </w:rPr>
              <w:t>Invite story, sequence, values, turning points, identity, social norms, and changes over time</w:t>
            </w:r>
          </w:p>
        </w:tc>
      </w:tr>
      <w:tr>
        <w:tc>
          <w:tcPr>
            <w:tcW w:type="dxa" w:w="4896"/>
            <w:vAlign w:val="center"/>
            <w:tcMar>
              <w:top w:w="90" w:type="dxa"/>
              <w:left w:w="90" w:type="dxa"/>
              <w:bottom w:w="90" w:type="dxa"/>
              <w:right w:w="90" w:type="dxa"/>
            </w:tcMar>
          </w:tcPr>
          <w:p>
            <w:pPr>
              <w:jc w:val="center"/>
            </w:pPr>
            <w:r/>
            <w:r>
              <w:rPr>
                <w:rFonts w:ascii="Aptos" w:hAnsi="Aptos"/>
                <w:b w:val="0"/>
                <w:sz w:val="19"/>
              </w:rPr>
              <w:t>Clarifying</w:t>
            </w:r>
          </w:p>
        </w:tc>
        <w:tc>
          <w:tcPr>
            <w:tcW w:type="dxa" w:w="4896"/>
            <w:vAlign w:val="center"/>
            <w:tcMar>
              <w:top w:w="90" w:type="dxa"/>
              <w:left w:w="90" w:type="dxa"/>
              <w:bottom w:w="90" w:type="dxa"/>
              <w:right w:w="90" w:type="dxa"/>
            </w:tcMar>
          </w:tcPr>
          <w:p>
            <w:r/>
            <w:r>
              <w:rPr>
                <w:rFonts w:ascii="Aptos" w:hAnsi="Aptos"/>
                <w:b w:val="0"/>
                <w:sz w:val="19"/>
              </w:rPr>
              <w:t>Check names, dates, places, terms, and whether anything should stay off record</w:t>
            </w:r>
          </w:p>
        </w:tc>
      </w:tr>
      <w:tr>
        <w:tc>
          <w:tcPr>
            <w:tcW w:type="dxa" w:w="4896"/>
            <w:vAlign w:val="center"/>
            <w:tcMar>
              <w:top w:w="90" w:type="dxa"/>
              <w:left w:w="90" w:type="dxa"/>
              <w:bottom w:w="90" w:type="dxa"/>
              <w:right w:w="90" w:type="dxa"/>
            </w:tcMar>
          </w:tcPr>
          <w:p>
            <w:pPr>
              <w:jc w:val="center"/>
            </w:pPr>
            <w:r/>
            <w:r>
              <w:rPr>
                <w:rFonts w:ascii="Aptos" w:hAnsi="Aptos"/>
                <w:b w:val="0"/>
                <w:sz w:val="19"/>
              </w:rPr>
              <w:t>Closure</w:t>
            </w:r>
          </w:p>
        </w:tc>
        <w:tc>
          <w:tcPr>
            <w:tcW w:type="dxa" w:w="4896"/>
            <w:vAlign w:val="center"/>
            <w:tcMar>
              <w:top w:w="90" w:type="dxa"/>
              <w:left w:w="90" w:type="dxa"/>
              <w:bottom w:w="90" w:type="dxa"/>
              <w:right w:w="90" w:type="dxa"/>
            </w:tcMar>
          </w:tcPr>
          <w:p>
            <w:r/>
            <w:r>
              <w:rPr>
                <w:rFonts w:ascii="Aptos" w:hAnsi="Aptos"/>
                <w:b w:val="0"/>
                <w:sz w:val="19"/>
              </w:rPr>
              <w:t>Thank them, ask how they want to be represented, explain next steps, and leave with dignity</w:t>
            </w:r>
          </w:p>
        </w:tc>
      </w:tr>
    </w:tbl>
    <w:p/>
    <w:p>
      <w:r>
        <w:br w:type="page"/>
      </w:r>
    </w:p>
    <w:p>
      <w:pPr>
        <w:pStyle w:val="Heading1"/>
      </w:pPr>
      <w:r>
        <w:t>7. Creative Cultural Documentation: Capturing Essence</w:t>
      </w:r>
    </w:p>
    <w:p>
      <w:pPr>
        <w:pStyle w:val="SubtitleCustom"/>
      </w:pPr>
      <w:r>
        <w:t>A chapter on how to record more than facts: mood, rhythm, texture, contradiction, and emotional truth.</w:t>
      </w:r>
    </w:p>
    <w:p>
      <w:pPr/>
      <w:r>
        <w:t>One reason cultural documentation often feels flat is that it records facts without atmosphere. We learn where a people live, what they wear, what they eat, and perhaps what events they celebrate, but we never feel the emotional architecture of the world. We do not feel tempo, silence, noise, waiting, repetition, repair, reverence, fear, or belonging.</w:t>
      </w:r>
    </w:p>
    <w:p>
      <w:pPr/>
      <w:r>
        <w:t>Capturing essence requires a creative eye without abandoning honesty. It means noticing recurring sounds, ordinary spaces, the choreography of hands, pauses in conversation, what children imitate, what elders correct, where people gather, what objects are worn smooth by use, what sayings return in moments of uncertainty, and how authority is signaled. It means preserving environment as well as statement.</w:t>
      </w:r>
    </w:p>
    <w:p>
      <w:pPr/>
      <w:r>
        <w:t>Creativity here does not mean aestheticizing poverty or making every subculture look cinematic. It means building a richer record. A doorway can tell a history. The placement of shoes can reveal a rule of entry. The condition of tools can reveal whether a craft is living or merely remembered. A joke told twice in one afternoon may reveal a group’s internal pressure points. A song sung only in one context may reveal what language cannot say directly.</w:t>
      </w:r>
    </w:p>
    <w:p>
      <w:pPr/>
      <w:r>
        <w:t>The project can differentiate itself by teaching and showing this kind of documentation. Instead of asking, “What is this community?” it can also ask, “What does being here feel like? What rhythm organizes this world? What symbols carry emotional weight? What would a careful outsider miss in the first hour, and what begins to appear by the third day?”</w:t>
      </w:r>
    </w:p>
    <w:p>
      <w:pPr>
        <w:pStyle w:val="ListBullet"/>
        <w:spacing w:after="100"/>
      </w:pPr>
      <w:r>
        <w:t>Capture establishing context before close-up detail.</w:t>
      </w:r>
    </w:p>
    <w:p>
      <w:pPr>
        <w:pStyle w:val="ListBullet"/>
        <w:spacing w:after="100"/>
      </w:pPr>
      <w:r>
        <w:t>Record ordinary life, not only ceremonial peaks.</w:t>
      </w:r>
    </w:p>
    <w:p>
      <w:pPr>
        <w:pStyle w:val="ListBullet"/>
        <w:spacing w:after="100"/>
      </w:pPr>
      <w:r>
        <w:t>Use sound intentionally; sound often carries social meaning faster than image.</w:t>
      </w:r>
    </w:p>
    <w:p>
      <w:pPr>
        <w:pStyle w:val="ListBullet"/>
        <w:spacing w:after="100"/>
      </w:pPr>
      <w:r>
        <w:t>Write sensory notes within minutes of leaving a setting.</w:t>
      </w:r>
    </w:p>
    <w:p>
      <w:pPr>
        <w:pStyle w:val="ListBullet"/>
        <w:spacing w:after="100"/>
      </w:pPr>
      <w:r>
        <w:t>Look for recurring contrasts: sacred/profane, public/private, old/new, official/unofficial.</w:t>
      </w:r>
    </w:p>
    <w:p>
      <w:pPr>
        <w:pStyle w:val="ListBullet"/>
        <w:spacing w:after="100"/>
      </w:pPr>
      <w:r>
        <w:t>Preserve tension honestly; contradiction is part of culture, not a failure of it.</w:t>
      </w:r>
    </w:p>
    <w:p>
      <w:r>
        <w:br w:type="page"/>
      </w:r>
    </w:p>
    <w:p>
      <w:pPr>
        <w:pStyle w:val="Heading1"/>
      </w:pPr>
      <w:r>
        <w:t>8. Artifacts, Material Culture, and Cultural Memory</w:t>
      </w:r>
    </w:p>
    <w:p>
      <w:pPr>
        <w:pStyle w:val="SubtitleCustom"/>
      </w:pPr>
      <w:r>
        <w:t>Objects are not just things. They are compressed stories.</w:t>
      </w:r>
    </w:p>
    <w:p>
      <w:pPr/>
      <w:r>
        <w:t>Artifacts matter because human beings embed memory in matter. A tool, garment, carved doorway, hand-bound journal, protest flyer, patched jacket, handmade fishing net, heirloom recipe card, ritual cup, cassette tape, or club patch can hold more cultural information than a summary paragraph ever could.</w:t>
      </w:r>
    </w:p>
    <w:p>
      <w:pPr/>
      <w:r>
        <w:t>To document artifacts well, the project should avoid treating them as detached curiosities. The key questions are relational. Who used this? When? Where? Under what conditions? What did it signal? How was it made? What changed over time? What is missing from newer versions? What emotion does it carry for insiders? What mistake do outsiders make when they look at it?</w:t>
      </w:r>
    </w:p>
    <w:p>
      <w:pPr/>
      <w:r>
        <w:t>Material culture is especially valuable when documenting subcultures because objects often mediate belonging. People wear symbols before they speak. They decorate spaces before they explain identity. They keep fragments of earlier eras even after the living scene has changed. In disappearing communities, objects sometimes become the final durable witness that a way of life once had shape.</w:t>
      </w:r>
    </w:p>
    <w:p>
      <w:pPr/>
      <w:r>
        <w:t>The project should teach readers and future contributors to photograph, describe, and contextualize objects with rigor. Scale, wear pattern, repair marks, inscriptions, provenance, and use setting all matter. Whenever possible, an object should be paired with testimony from someone who knows its social life, not only its surface form.</w:t>
      </w:r>
    </w:p>
    <w:p>
      <w:r>
        <w:br w:type="page"/>
      </w:r>
    </w:p>
    <w:tbl>
      <w:tblPr>
        <w:tblStyle w:val="TableGrid"/>
        <w:tblW w:type="auto" w:w="0"/>
        <w:jc w:val="center"/>
        <w:tblLook w:firstColumn="1" w:firstRow="1" w:lastColumn="0" w:lastRow="0" w:noHBand="0" w:noVBand="1" w:val="04A0"/>
      </w:tblPr>
      <w:tblGrid>
        <w:gridCol w:w="4896"/>
        <w:gridCol w:w="4896"/>
      </w:tblGrid>
      <w:tr>
        <w:tc>
          <w:tcPr>
            <w:tcW w:type="dxa" w:w="4896"/>
            <w:vAlign w:val="center"/>
            <w:tcMar>
              <w:top w:w="90" w:type="dxa"/>
              <w:left w:w="90" w:type="dxa"/>
              <w:bottom w:w="90" w:type="dxa"/>
              <w:right w:w="90" w:type="dxa"/>
            </w:tcMar>
            <w:shd w:fill="DDE4EC"/>
          </w:tcPr>
          <w:p>
            <w:pPr>
              <w:jc w:val="center"/>
            </w:pPr>
            <w:r/>
            <w:r>
              <w:rPr>
                <w:rFonts w:ascii="Aptos" w:hAnsi="Aptos"/>
                <w:b/>
                <w:sz w:val="20"/>
              </w:rPr>
              <w:t>Artifact question</w:t>
            </w:r>
          </w:p>
        </w:tc>
        <w:tc>
          <w:tcPr>
            <w:tcW w:type="dxa" w:w="4896"/>
            <w:vAlign w:val="center"/>
            <w:tcMar>
              <w:top w:w="90" w:type="dxa"/>
              <w:left w:w="90" w:type="dxa"/>
              <w:bottom w:w="90" w:type="dxa"/>
              <w:right w:w="90" w:type="dxa"/>
            </w:tcMar>
            <w:shd w:fill="DDE4EC"/>
          </w:tcPr>
          <w:p>
            <w:pPr>
              <w:jc w:val="center"/>
            </w:pPr>
            <w:r/>
            <w:r>
              <w:rPr>
                <w:rFonts w:ascii="Aptos" w:hAnsi="Aptos"/>
                <w:b/>
                <w:sz w:val="20"/>
              </w:rPr>
              <w:t>Why it matters</w:t>
            </w:r>
          </w:p>
        </w:tc>
      </w:tr>
      <w:tr>
        <w:tc>
          <w:tcPr>
            <w:tcW w:type="dxa" w:w="4896"/>
            <w:vAlign w:val="center"/>
            <w:tcMar>
              <w:top w:w="90" w:type="dxa"/>
              <w:left w:w="90" w:type="dxa"/>
              <w:bottom w:w="90" w:type="dxa"/>
              <w:right w:w="90" w:type="dxa"/>
            </w:tcMar>
          </w:tcPr>
          <w:p>
            <w:pPr>
              <w:jc w:val="center"/>
            </w:pPr>
            <w:r/>
            <w:r>
              <w:rPr>
                <w:rFonts w:ascii="Aptos" w:hAnsi="Aptos"/>
                <w:b w:val="0"/>
                <w:sz w:val="19"/>
              </w:rPr>
              <w:t>Who used it and why?</w:t>
            </w:r>
          </w:p>
        </w:tc>
        <w:tc>
          <w:tcPr>
            <w:tcW w:type="dxa" w:w="4896"/>
            <w:vAlign w:val="center"/>
            <w:tcMar>
              <w:top w:w="90" w:type="dxa"/>
              <w:left w:w="90" w:type="dxa"/>
              <w:bottom w:w="90" w:type="dxa"/>
              <w:right w:w="90" w:type="dxa"/>
            </w:tcMar>
          </w:tcPr>
          <w:p>
            <w:r/>
            <w:r>
              <w:rPr>
                <w:rFonts w:ascii="Aptos" w:hAnsi="Aptos"/>
                <w:b w:val="0"/>
                <w:sz w:val="19"/>
              </w:rPr>
              <w:t>Connects the object to role, identity, and function</w:t>
            </w:r>
          </w:p>
        </w:tc>
      </w:tr>
      <w:tr>
        <w:tc>
          <w:tcPr>
            <w:tcW w:type="dxa" w:w="4896"/>
            <w:vAlign w:val="center"/>
            <w:tcMar>
              <w:top w:w="90" w:type="dxa"/>
              <w:left w:w="90" w:type="dxa"/>
              <w:bottom w:w="90" w:type="dxa"/>
              <w:right w:w="90" w:type="dxa"/>
            </w:tcMar>
          </w:tcPr>
          <w:p>
            <w:pPr>
              <w:jc w:val="center"/>
            </w:pPr>
            <w:r/>
            <w:r>
              <w:rPr>
                <w:rFonts w:ascii="Aptos" w:hAnsi="Aptos"/>
                <w:b w:val="0"/>
                <w:sz w:val="19"/>
              </w:rPr>
              <w:t>How was it made?</w:t>
            </w:r>
          </w:p>
        </w:tc>
        <w:tc>
          <w:tcPr>
            <w:tcW w:type="dxa" w:w="4896"/>
            <w:vAlign w:val="center"/>
            <w:tcMar>
              <w:top w:w="90" w:type="dxa"/>
              <w:left w:w="90" w:type="dxa"/>
              <w:bottom w:w="90" w:type="dxa"/>
              <w:right w:w="90" w:type="dxa"/>
            </w:tcMar>
          </w:tcPr>
          <w:p>
            <w:r/>
            <w:r>
              <w:rPr>
                <w:rFonts w:ascii="Aptos" w:hAnsi="Aptos"/>
                <w:b w:val="0"/>
                <w:sz w:val="19"/>
              </w:rPr>
              <w:t>Reveals skill, resources, labor, and transmission of knowledge</w:t>
            </w:r>
          </w:p>
        </w:tc>
      </w:tr>
      <w:tr>
        <w:tc>
          <w:tcPr>
            <w:tcW w:type="dxa" w:w="4896"/>
            <w:vAlign w:val="center"/>
            <w:tcMar>
              <w:top w:w="90" w:type="dxa"/>
              <w:left w:w="90" w:type="dxa"/>
              <w:bottom w:w="90" w:type="dxa"/>
              <w:right w:w="90" w:type="dxa"/>
            </w:tcMar>
          </w:tcPr>
          <w:p>
            <w:pPr>
              <w:jc w:val="center"/>
            </w:pPr>
            <w:r/>
            <w:r>
              <w:rPr>
                <w:rFonts w:ascii="Aptos" w:hAnsi="Aptos"/>
                <w:b w:val="0"/>
                <w:sz w:val="19"/>
              </w:rPr>
              <w:t>What changed over time?</w:t>
            </w:r>
          </w:p>
        </w:tc>
        <w:tc>
          <w:tcPr>
            <w:tcW w:type="dxa" w:w="4896"/>
            <w:vAlign w:val="center"/>
            <w:tcMar>
              <w:top w:w="90" w:type="dxa"/>
              <w:left w:w="90" w:type="dxa"/>
              <w:bottom w:w="90" w:type="dxa"/>
              <w:right w:w="90" w:type="dxa"/>
            </w:tcMar>
          </w:tcPr>
          <w:p>
            <w:r/>
            <w:r>
              <w:rPr>
                <w:rFonts w:ascii="Aptos" w:hAnsi="Aptos"/>
                <w:b w:val="0"/>
                <w:sz w:val="19"/>
              </w:rPr>
              <w:t>Shows modernization, scarcity, adaptation, or symbolic drift</w:t>
            </w:r>
          </w:p>
        </w:tc>
      </w:tr>
      <w:tr>
        <w:tc>
          <w:tcPr>
            <w:tcW w:type="dxa" w:w="4896"/>
            <w:vAlign w:val="center"/>
            <w:tcMar>
              <w:top w:w="90" w:type="dxa"/>
              <w:left w:w="90" w:type="dxa"/>
              <w:bottom w:w="90" w:type="dxa"/>
              <w:right w:w="90" w:type="dxa"/>
            </w:tcMar>
          </w:tcPr>
          <w:p>
            <w:pPr>
              <w:jc w:val="center"/>
            </w:pPr>
            <w:r/>
            <w:r>
              <w:rPr>
                <w:rFonts w:ascii="Aptos" w:hAnsi="Aptos"/>
                <w:b w:val="0"/>
                <w:sz w:val="19"/>
              </w:rPr>
              <w:t>Where was it kept or displayed?</w:t>
            </w:r>
          </w:p>
        </w:tc>
        <w:tc>
          <w:tcPr>
            <w:tcW w:type="dxa" w:w="4896"/>
            <w:vAlign w:val="center"/>
            <w:tcMar>
              <w:top w:w="90" w:type="dxa"/>
              <w:left w:w="90" w:type="dxa"/>
              <w:bottom w:w="90" w:type="dxa"/>
              <w:right w:w="90" w:type="dxa"/>
            </w:tcMar>
          </w:tcPr>
          <w:p>
            <w:r/>
            <w:r>
              <w:rPr>
                <w:rFonts w:ascii="Aptos" w:hAnsi="Aptos"/>
                <w:b w:val="0"/>
                <w:sz w:val="19"/>
              </w:rPr>
              <w:t>Signals status, sacredness, secrecy, or everyday use</w:t>
            </w:r>
          </w:p>
        </w:tc>
      </w:tr>
      <w:tr>
        <w:tc>
          <w:tcPr>
            <w:tcW w:type="dxa" w:w="4896"/>
            <w:vAlign w:val="center"/>
            <w:tcMar>
              <w:top w:w="90" w:type="dxa"/>
              <w:left w:w="90" w:type="dxa"/>
              <w:bottom w:w="90" w:type="dxa"/>
              <w:right w:w="90" w:type="dxa"/>
            </w:tcMar>
          </w:tcPr>
          <w:p>
            <w:pPr>
              <w:jc w:val="center"/>
            </w:pPr>
            <w:r/>
            <w:r>
              <w:rPr>
                <w:rFonts w:ascii="Aptos" w:hAnsi="Aptos"/>
                <w:b w:val="0"/>
                <w:sz w:val="19"/>
              </w:rPr>
              <w:t>What stories are attached to it?</w:t>
            </w:r>
          </w:p>
        </w:tc>
        <w:tc>
          <w:tcPr>
            <w:tcW w:type="dxa" w:w="4896"/>
            <w:vAlign w:val="center"/>
            <w:tcMar>
              <w:top w:w="90" w:type="dxa"/>
              <w:left w:w="90" w:type="dxa"/>
              <w:bottom w:w="90" w:type="dxa"/>
              <w:right w:w="90" w:type="dxa"/>
            </w:tcMar>
          </w:tcPr>
          <w:p>
            <w:r/>
            <w:r>
              <w:rPr>
                <w:rFonts w:ascii="Aptos" w:hAnsi="Aptos"/>
                <w:b w:val="0"/>
                <w:sz w:val="19"/>
              </w:rPr>
              <w:t>Turns the object into memory, not decoration</w:t>
            </w:r>
          </w:p>
        </w:tc>
      </w:tr>
    </w:tbl>
    <w:p/>
    <w:p>
      <w:r>
        <w:br w:type="page"/>
      </w:r>
    </w:p>
    <w:p>
      <w:pPr>
        <w:pStyle w:val="Heading1"/>
      </w:pPr>
      <w:r>
        <w:t>9. Hierarchy, Social Contracts, and Unwritten Rules</w:t>
      </w:r>
    </w:p>
    <w:p>
      <w:pPr>
        <w:pStyle w:val="SubtitleCustom"/>
      </w:pPr>
      <w:r>
        <w:t>One of the most fascinating and revealing layers in any human world.</w:t>
      </w:r>
    </w:p>
    <w:p>
      <w:pPr/>
      <w:r>
        <w:t>Every culture and subculture contains hierarchy. Sometimes it is formal and visible. Sometimes it is quiet, flexible, and enforced through tone rather than title. But it is always there in some form, because groups need ways of deciding who teaches, who leads, who corrects, who protects, who has earned voice, and what behavior counts as disloyal or immature.</w:t>
      </w:r>
    </w:p>
    <w:p>
      <w:pPr/>
      <w:r>
        <w:t>A project that documents hierarchy carefully becomes more valuable because hierarchy explains behavior. It explains why one person speaks first and another waits. It explains rites of passage, insider language, mentorship, shame, access, secrecy, and the rules around challenge or dissent.</w:t>
      </w:r>
    </w:p>
    <w:p>
      <w:pPr/>
      <w:r>
        <w:t>Social contracts matter just as much. Every world has an implicit deal. It tells members what they owe, what they can expect, how they gain standing, and what happens if they violate the code. In some communities the deal centers on labor and loyalty. In others it centers on style, risk, endurance, wit, sacrifice, silence, craft, or obedience to an elder line. In a survival-based street culture, the deal may be about trust and mutual warning. In a fading craft community, it may be about preserving standards under economic pressure. In an underground artistic scene, it may be about authenticity, recognition, and resistance to commercialization.</w:t>
      </w:r>
    </w:p>
    <w:p>
      <w:pPr/>
      <w:r>
        <w:t>The project should not flatten hierarchy into oppression alone or romanticize it into noble order. Hierarchy can organize dignity and knowledge. It can also conceal abuse, gatekeeping, and stagnation. The task is to document how it functions in reality.</w:t>
      </w:r>
    </w:p>
    <w:p>
      <w:pPr>
        <w:pStyle w:val="ListBullet"/>
        <w:spacing w:after="100"/>
      </w:pPr>
      <w:r>
        <w:t>Ask who is trusted and why.</w:t>
      </w:r>
    </w:p>
    <w:p>
      <w:pPr>
        <w:pStyle w:val="ListBullet"/>
        <w:spacing w:after="100"/>
      </w:pPr>
      <w:r>
        <w:t>Notice who is allowed to joke with whom.</w:t>
      </w:r>
    </w:p>
    <w:p>
      <w:pPr>
        <w:pStyle w:val="ListBullet"/>
        <w:spacing w:after="100"/>
      </w:pPr>
      <w:r>
        <w:t>Look for rites of entry, earning, testing, and correction.</w:t>
      </w:r>
    </w:p>
    <w:p>
      <w:pPr>
        <w:pStyle w:val="ListBullet"/>
        <w:spacing w:after="100"/>
      </w:pPr>
      <w:r>
        <w:t>Track how newcomers learn what is acceptable.</w:t>
      </w:r>
    </w:p>
    <w:p>
      <w:pPr>
        <w:pStyle w:val="ListBullet"/>
        <w:spacing w:after="100"/>
      </w:pPr>
      <w:r>
        <w:t>Document who can break rules without consequence and who cannot.</w:t>
      </w:r>
    </w:p>
    <w:p>
      <w:pPr>
        <w:pStyle w:val="ListBullet"/>
        <w:spacing w:after="100"/>
      </w:pPr>
      <w:r>
        <w:t>Look for how status is displayed materially, verbally, spatially, or ritually.</w:t>
      </w:r>
    </w:p>
    <w:p>
      <w:r>
        <w:br w:type="page"/>
      </w:r>
    </w:p>
    <w:p>
      <w:pPr>
        <w:pStyle w:val="Heading1"/>
      </w:pPr>
      <w:r>
        <w:t>10. Common Pressures Faced by Subcultures</w:t>
      </w:r>
    </w:p>
    <w:p>
      <w:pPr>
        <w:pStyle w:val="SubtitleCustom"/>
      </w:pPr>
      <w:r>
        <w:t>Why subcultures and small worlds struggle, and why those struggles deserve careful documentation.</w:t>
      </w:r>
    </w:p>
    <w:p>
      <w:pPr/>
      <w:r>
        <w:t>Subcultures disappear for many reasons. Sometimes money drives the change. Sometimes policing or stigma pushes a world underground until it thins out. Sometimes technology drains local scenes by moving interaction into platforms that flatten nuance. Sometimes younger generations inherit the aesthetics without the discipline. Sometimes tourism turns a living culture into performance. Sometimes trauma, addiction, conflict, displacement, or predatory attention erode internal trust.</w:t>
      </w:r>
    </w:p>
    <w:p>
      <w:pPr/>
      <w:r>
        <w:t>These pressures are not only external. Internal dynamics matter too. A subculture can become too rigid to adapt. Leaders can calcify. Gatekeepers can drive away younger talent. Myth can overtake truth. A group can become so defensive against outsiders that it stops transmitting its knowledge well. Documentation that ignores these internal pressures becomes propaganda. Documentation that notices them honestly becomes useful.</w:t>
      </w:r>
    </w:p>
    <w:p>
      <w:pPr/>
      <w:r>
        <w:t>The project’s early field note on homelessness is instructive here. It names trauma, scarcity, vigilance, alliances, territorial boundaries, and highly developed trust instincts as shaping forces. That model can be generalized carefully: many subcultures are adaptive ecosystems responding to pressure. To understand them, we must ask what conditions produced them, what conditions sustain them, and what conditions threaten to dissolve them.</w:t>
      </w:r>
    </w:p>
    <w:p>
      <w:pPr/>
      <w:r>
        <w:t>A book supporting the project should therefore include a chapter like this because it helps readers understand that vanishing worlds do not disappear by magic. They are acted upon by incentives, neglect, modernization, media distortions, economic shifts, platform culture, displacement, and internal fracture.</w:t>
      </w:r>
    </w:p>
    <w:p>
      <w:r>
        <w:br w:type="page"/>
      </w:r>
    </w:p>
    <w:tbl>
      <w:tblPr>
        <w:tblStyle w:val="TableGrid"/>
        <w:tblW w:type="auto" w:w="0"/>
        <w:jc w:val="center"/>
        <w:tblLook w:firstColumn="1" w:firstRow="1" w:lastColumn="0" w:lastRow="0" w:noHBand="0" w:noVBand="1" w:val="04A0"/>
      </w:tblPr>
      <w:tblGrid>
        <w:gridCol w:w="4896"/>
        <w:gridCol w:w="4896"/>
      </w:tblGrid>
      <w:tr>
        <w:tc>
          <w:tcPr>
            <w:tcW w:type="dxa" w:w="4896"/>
            <w:vAlign w:val="center"/>
            <w:tcMar>
              <w:top w:w="90" w:type="dxa"/>
              <w:left w:w="90" w:type="dxa"/>
              <w:bottom w:w="90" w:type="dxa"/>
              <w:right w:w="90" w:type="dxa"/>
            </w:tcMar>
            <w:shd w:fill="DDE4EC"/>
          </w:tcPr>
          <w:p>
            <w:pPr>
              <w:jc w:val="center"/>
            </w:pPr>
            <w:r/>
            <w:r>
              <w:rPr>
                <w:rFonts w:ascii="Aptos" w:hAnsi="Aptos"/>
                <w:b/>
                <w:sz w:val="20"/>
              </w:rPr>
              <w:t>Pressure</w:t>
            </w:r>
          </w:p>
        </w:tc>
        <w:tc>
          <w:tcPr>
            <w:tcW w:type="dxa" w:w="4896"/>
            <w:vAlign w:val="center"/>
            <w:tcMar>
              <w:top w:w="90" w:type="dxa"/>
              <w:left w:w="90" w:type="dxa"/>
              <w:bottom w:w="90" w:type="dxa"/>
              <w:right w:w="90" w:type="dxa"/>
            </w:tcMar>
            <w:shd w:fill="DDE4EC"/>
          </w:tcPr>
          <w:p>
            <w:pPr>
              <w:jc w:val="center"/>
            </w:pPr>
            <w:r/>
            <w:r>
              <w:rPr>
                <w:rFonts w:ascii="Aptos" w:hAnsi="Aptos"/>
                <w:b/>
                <w:sz w:val="20"/>
              </w:rPr>
              <w:t>How it can affect a subculture or community</w:t>
            </w:r>
          </w:p>
        </w:tc>
      </w:tr>
      <w:tr>
        <w:tc>
          <w:tcPr>
            <w:tcW w:type="dxa" w:w="4896"/>
            <w:vAlign w:val="center"/>
            <w:tcMar>
              <w:top w:w="90" w:type="dxa"/>
              <w:left w:w="90" w:type="dxa"/>
              <w:bottom w:w="90" w:type="dxa"/>
              <w:right w:w="90" w:type="dxa"/>
            </w:tcMar>
          </w:tcPr>
          <w:p>
            <w:pPr>
              <w:jc w:val="center"/>
            </w:pPr>
            <w:r/>
            <w:r>
              <w:rPr>
                <w:rFonts w:ascii="Aptos" w:hAnsi="Aptos"/>
                <w:b w:val="0"/>
                <w:sz w:val="19"/>
              </w:rPr>
              <w:t>Economic displacement</w:t>
            </w:r>
          </w:p>
        </w:tc>
        <w:tc>
          <w:tcPr>
            <w:tcW w:type="dxa" w:w="4896"/>
            <w:vAlign w:val="center"/>
            <w:tcMar>
              <w:top w:w="90" w:type="dxa"/>
              <w:left w:w="90" w:type="dxa"/>
              <w:bottom w:w="90" w:type="dxa"/>
              <w:right w:w="90" w:type="dxa"/>
            </w:tcMar>
          </w:tcPr>
          <w:p>
            <w:r/>
            <w:r>
              <w:rPr>
                <w:rFonts w:ascii="Aptos" w:hAnsi="Aptos"/>
                <w:b w:val="0"/>
                <w:sz w:val="19"/>
              </w:rPr>
              <w:t>Loss of place, craft abandonment, migration, changed priorities</w:t>
            </w:r>
          </w:p>
        </w:tc>
      </w:tr>
      <w:tr>
        <w:tc>
          <w:tcPr>
            <w:tcW w:type="dxa" w:w="4896"/>
            <w:vAlign w:val="center"/>
            <w:tcMar>
              <w:top w:w="90" w:type="dxa"/>
              <w:left w:w="90" w:type="dxa"/>
              <w:bottom w:w="90" w:type="dxa"/>
              <w:right w:w="90" w:type="dxa"/>
            </w:tcMar>
          </w:tcPr>
          <w:p>
            <w:pPr>
              <w:jc w:val="center"/>
            </w:pPr>
            <w:r/>
            <w:r>
              <w:rPr>
                <w:rFonts w:ascii="Aptos" w:hAnsi="Aptos"/>
                <w:b w:val="0"/>
                <w:sz w:val="19"/>
              </w:rPr>
              <w:t>Platform culture</w:t>
            </w:r>
          </w:p>
        </w:tc>
        <w:tc>
          <w:tcPr>
            <w:tcW w:type="dxa" w:w="4896"/>
            <w:vAlign w:val="center"/>
            <w:tcMar>
              <w:top w:w="90" w:type="dxa"/>
              <w:left w:w="90" w:type="dxa"/>
              <w:bottom w:w="90" w:type="dxa"/>
              <w:right w:w="90" w:type="dxa"/>
            </w:tcMar>
          </w:tcPr>
          <w:p>
            <w:r/>
            <w:r>
              <w:rPr>
                <w:rFonts w:ascii="Aptos" w:hAnsi="Aptos"/>
                <w:b w:val="0"/>
                <w:sz w:val="19"/>
              </w:rPr>
              <w:t>Image without depth, faster trend cycles, weaker mentorship, fragmented norms</w:t>
            </w:r>
          </w:p>
        </w:tc>
      </w:tr>
      <w:tr>
        <w:tc>
          <w:tcPr>
            <w:tcW w:type="dxa" w:w="4896"/>
            <w:vAlign w:val="center"/>
            <w:tcMar>
              <w:top w:w="90" w:type="dxa"/>
              <w:left w:w="90" w:type="dxa"/>
              <w:bottom w:w="90" w:type="dxa"/>
              <w:right w:w="90" w:type="dxa"/>
            </w:tcMar>
          </w:tcPr>
          <w:p>
            <w:pPr>
              <w:jc w:val="center"/>
            </w:pPr>
            <w:r/>
            <w:r>
              <w:rPr>
                <w:rFonts w:ascii="Aptos" w:hAnsi="Aptos"/>
                <w:b w:val="0"/>
                <w:sz w:val="19"/>
              </w:rPr>
              <w:t>Stigma or moral panic</w:t>
            </w:r>
          </w:p>
        </w:tc>
        <w:tc>
          <w:tcPr>
            <w:tcW w:type="dxa" w:w="4896"/>
            <w:vAlign w:val="center"/>
            <w:tcMar>
              <w:top w:w="90" w:type="dxa"/>
              <w:left w:w="90" w:type="dxa"/>
              <w:bottom w:w="90" w:type="dxa"/>
              <w:right w:w="90" w:type="dxa"/>
            </w:tcMar>
          </w:tcPr>
          <w:p>
            <w:r/>
            <w:r>
              <w:rPr>
                <w:rFonts w:ascii="Aptos" w:hAnsi="Aptos"/>
                <w:b w:val="0"/>
                <w:sz w:val="19"/>
              </w:rPr>
              <w:t>Secrecy, distrust of outsiders, self-protective distortion, reduced transmission</w:t>
            </w:r>
          </w:p>
        </w:tc>
      </w:tr>
      <w:tr>
        <w:tc>
          <w:tcPr>
            <w:tcW w:type="dxa" w:w="4896"/>
            <w:vAlign w:val="center"/>
            <w:tcMar>
              <w:top w:w="90" w:type="dxa"/>
              <w:left w:w="90" w:type="dxa"/>
              <w:bottom w:w="90" w:type="dxa"/>
              <w:right w:w="90" w:type="dxa"/>
            </w:tcMar>
          </w:tcPr>
          <w:p>
            <w:pPr>
              <w:jc w:val="center"/>
            </w:pPr>
            <w:r/>
            <w:r>
              <w:rPr>
                <w:rFonts w:ascii="Aptos" w:hAnsi="Aptos"/>
                <w:b w:val="0"/>
                <w:sz w:val="19"/>
              </w:rPr>
              <w:t>Commercialization</w:t>
            </w:r>
          </w:p>
        </w:tc>
        <w:tc>
          <w:tcPr>
            <w:tcW w:type="dxa" w:w="4896"/>
            <w:vAlign w:val="center"/>
            <w:tcMar>
              <w:top w:w="90" w:type="dxa"/>
              <w:left w:w="90" w:type="dxa"/>
              <w:bottom w:w="90" w:type="dxa"/>
              <w:right w:w="90" w:type="dxa"/>
            </w:tcMar>
          </w:tcPr>
          <w:p>
            <w:r/>
            <w:r>
              <w:rPr>
                <w:rFonts w:ascii="Aptos" w:hAnsi="Aptos"/>
                <w:b w:val="0"/>
                <w:sz w:val="19"/>
              </w:rPr>
              <w:t>Performative identity, diluted standards, outsider demand shaping insider behavior</w:t>
            </w:r>
          </w:p>
        </w:tc>
      </w:tr>
      <w:tr>
        <w:tc>
          <w:tcPr>
            <w:tcW w:type="dxa" w:w="4896"/>
            <w:vAlign w:val="center"/>
            <w:tcMar>
              <w:top w:w="90" w:type="dxa"/>
              <w:left w:w="90" w:type="dxa"/>
              <w:bottom w:w="90" w:type="dxa"/>
              <w:right w:w="90" w:type="dxa"/>
            </w:tcMar>
          </w:tcPr>
          <w:p>
            <w:pPr>
              <w:jc w:val="center"/>
            </w:pPr>
            <w:r/>
            <w:r>
              <w:rPr>
                <w:rFonts w:ascii="Aptos" w:hAnsi="Aptos"/>
                <w:b w:val="0"/>
                <w:sz w:val="19"/>
              </w:rPr>
              <w:t>Intergenerational rupture</w:t>
            </w:r>
          </w:p>
        </w:tc>
        <w:tc>
          <w:tcPr>
            <w:tcW w:type="dxa" w:w="4896"/>
            <w:vAlign w:val="center"/>
            <w:tcMar>
              <w:top w:w="90" w:type="dxa"/>
              <w:left w:w="90" w:type="dxa"/>
              <w:bottom w:w="90" w:type="dxa"/>
              <w:right w:w="90" w:type="dxa"/>
            </w:tcMar>
          </w:tcPr>
          <w:p>
            <w:r/>
            <w:r>
              <w:rPr>
                <w:rFonts w:ascii="Aptos" w:hAnsi="Aptos"/>
                <w:b w:val="0"/>
                <w:sz w:val="19"/>
              </w:rPr>
              <w:t>Skills and stories fail to transfer, symbolic survival without meaning</w:t>
            </w:r>
          </w:p>
        </w:tc>
      </w:tr>
      <w:tr>
        <w:tc>
          <w:tcPr>
            <w:tcW w:type="dxa" w:w="4896"/>
            <w:vAlign w:val="center"/>
            <w:tcMar>
              <w:top w:w="90" w:type="dxa"/>
              <w:left w:w="90" w:type="dxa"/>
              <w:bottom w:w="90" w:type="dxa"/>
              <w:right w:w="90" w:type="dxa"/>
            </w:tcMar>
          </w:tcPr>
          <w:p>
            <w:pPr>
              <w:jc w:val="center"/>
            </w:pPr>
            <w:r/>
            <w:r>
              <w:rPr>
                <w:rFonts w:ascii="Aptos" w:hAnsi="Aptos"/>
                <w:b w:val="0"/>
                <w:sz w:val="19"/>
              </w:rPr>
              <w:t>Trauma and scarcity</w:t>
            </w:r>
          </w:p>
        </w:tc>
        <w:tc>
          <w:tcPr>
            <w:tcW w:type="dxa" w:w="4896"/>
            <w:vAlign w:val="center"/>
            <w:tcMar>
              <w:top w:w="90" w:type="dxa"/>
              <w:left w:w="90" w:type="dxa"/>
              <w:bottom w:w="90" w:type="dxa"/>
              <w:right w:w="90" w:type="dxa"/>
            </w:tcMar>
          </w:tcPr>
          <w:p>
            <w:r/>
            <w:r>
              <w:rPr>
                <w:rFonts w:ascii="Aptos" w:hAnsi="Aptos"/>
                <w:b w:val="0"/>
                <w:sz w:val="19"/>
              </w:rPr>
              <w:t>Short-term survival logic overrides preservation and long-term planning</w:t>
            </w:r>
          </w:p>
        </w:tc>
      </w:tr>
    </w:tbl>
    <w:p/>
    <w:p>
      <w:r>
        <w:br w:type="page"/>
      </w:r>
    </w:p>
    <w:p>
      <w:pPr>
        <w:pStyle w:val="Heading1"/>
      </w:pPr>
      <w:r>
        <w:t>11. Ethics, Dignity, and Representation</w:t>
      </w:r>
    </w:p>
    <w:p>
      <w:pPr>
        <w:pStyle w:val="SubtitleCustom"/>
      </w:pPr>
      <w:r>
        <w:t>This work can do harm if it moves faster than conscience.</w:t>
      </w:r>
    </w:p>
    <w:p>
      <w:pPr/>
      <w:r>
        <w:t>Ethics in cultural documentation are not optional. They are central. A project can have beautiful intentions and still produce harm if it exposes people recklessly, oversimplifies vulnerable communities, rewards trauma performance, or edits out the dignity of ordinary life in favor of what is dramatic.</w:t>
      </w:r>
    </w:p>
    <w:p>
      <w:pPr/>
      <w:r>
        <w:t>The Vanishing Worlds Project should therefore be explicit about its ethical posture. The founder page already emphasizes respect for human dignity and human rights. That must be visible not only in mission statements but in method. Consent must be informed and ongoing, not one-time and assumed. Context must be checked. Vulnerability must not be monetized cheaply. Children, illegal activity, protected practices, and politically risky identities require extra caution. Some stories should remain partial or anonymous. Some footage should not be released publicly at all.</w:t>
      </w:r>
    </w:p>
    <w:p>
      <w:pPr/>
      <w:r>
        <w:t>A strong ethic also means resisting the temptation to make every group either beautiful victims or secret geniuses. Real communities contain conflict, contradiction, beauty, damage, humor, pettiness, resilience, and ordinary boredom. Honest representation is usually more respectful than romanticization.</w:t>
      </w:r>
    </w:p>
    <w:p>
      <w:pPr/>
      <w:r>
        <w:t>Ethics also continue after publication. How is material stored? Who can access it? Can community members respond, correct, or supplement? Is follow-up possible? Has the project honored gratitude as seriously as it honored capture?</w:t>
      </w:r>
    </w:p>
    <w:p>
      <w:pPr>
        <w:pStyle w:val="ListBullet"/>
        <w:spacing w:after="100"/>
      </w:pPr>
      <w:r>
        <w:t>Seek permission in plain language and revisit it when context changes.</w:t>
      </w:r>
    </w:p>
    <w:p>
      <w:pPr>
        <w:pStyle w:val="ListBullet"/>
        <w:spacing w:after="100"/>
      </w:pPr>
      <w:r>
        <w:t>Protect people from unnecessary exposure, not just legal liability.</w:t>
      </w:r>
    </w:p>
    <w:p>
      <w:pPr>
        <w:pStyle w:val="ListBullet"/>
        <w:spacing w:after="100"/>
      </w:pPr>
      <w:r>
        <w:t>Do not mistake access for entitlement.</w:t>
      </w:r>
    </w:p>
    <w:p>
      <w:pPr>
        <w:pStyle w:val="ListBullet"/>
        <w:spacing w:after="100"/>
      </w:pPr>
      <w:r>
        <w:t>Let complexity survive the edit.</w:t>
      </w:r>
    </w:p>
    <w:p>
      <w:pPr>
        <w:pStyle w:val="ListBullet"/>
        <w:spacing w:after="100"/>
      </w:pPr>
      <w:r>
        <w:t>Avoid using pain as aesthetic fuel.</w:t>
      </w:r>
    </w:p>
    <w:p>
      <w:pPr>
        <w:pStyle w:val="ListBullet"/>
        <w:spacing w:after="100"/>
      </w:pPr>
      <w:r>
        <w:t>Leave room for community feedback, correction, and refusal.</w:t>
      </w:r>
    </w:p>
    <w:p>
      <w:r>
        <w:br w:type="page"/>
      </w:r>
    </w:p>
    <w:p>
      <w:pPr>
        <w:pStyle w:val="Heading1"/>
      </w:pPr>
      <w:r>
        <w:t>12. Turning Fieldwork into a Living Archive</w:t>
      </w:r>
    </w:p>
    <w:p>
      <w:pPr>
        <w:pStyle w:val="SubtitleCustom"/>
      </w:pPr>
      <w:r>
        <w:t>Documentation only becomes heritage when it can be found, understood, and preserved.</w:t>
      </w:r>
    </w:p>
    <w:p>
      <w:pPr/>
      <w:r>
        <w:t>Many good interviews die on hard drives. Many remarkable observations disappear in notebooks. Many photographs remain visually striking but historically weak because they were never tagged, contextualized, or linked to testimony. A serious project needs an archive mindset from the beginning.</w:t>
      </w:r>
    </w:p>
    <w:p>
      <w:pPr/>
      <w:r>
        <w:t>That means every field document should answer practical questions: who, where, when, what, why it matters, how consent was handled, what objects were present, what themes emerged, what follow-up is needed, and what other materials relate to it. Metadata may feel unromantic, but it is what turns memory into retrievable knowledge.</w:t>
      </w:r>
    </w:p>
    <w:p>
      <w:pPr/>
      <w:r>
        <w:t>A living archive should hold multiple layers. It should preserve raw material where safe, edited public-facing material where appropriate, concise summaries for fast understanding, and thematic cross-links so future researchers or readers can connect artifacts, stories, locations, and recurring cultural patterns.</w:t>
      </w:r>
    </w:p>
    <w:p>
      <w:pPr/>
      <w:r>
        <w:t>The project does not need to become a giant institution overnight. But it should build institutional habits early: file naming discipline, backups, transcripts, date stamps, location notes, version control, and clear storage categories. Readers who support the project should understand that this is part of what their support enables.</w:t>
      </w:r>
    </w:p>
    <w:p>
      <w:pPr>
        <w:pStyle w:val="ListBullet"/>
        <w:spacing w:after="100"/>
      </w:pPr>
      <w:r>
        <w:t>Keep raw interview files and edited versions separate.</w:t>
      </w:r>
    </w:p>
    <w:p>
      <w:pPr>
        <w:pStyle w:val="ListBullet"/>
        <w:spacing w:after="100"/>
      </w:pPr>
      <w:r>
        <w:t>Store field notes close to the media they describe.</w:t>
      </w:r>
    </w:p>
    <w:p>
      <w:pPr>
        <w:pStyle w:val="ListBullet"/>
        <w:spacing w:after="100"/>
      </w:pPr>
      <w:r>
        <w:t>Use consistent naming: date, place, subject, media type, and status.</w:t>
      </w:r>
    </w:p>
    <w:p>
      <w:pPr>
        <w:pStyle w:val="ListBullet"/>
        <w:spacing w:after="100"/>
      </w:pPr>
      <w:r>
        <w:t>Create short summaries immediately after each interview while memory is fresh.</w:t>
      </w:r>
    </w:p>
    <w:p>
      <w:pPr>
        <w:pStyle w:val="ListBullet"/>
        <w:spacing w:after="100"/>
      </w:pPr>
      <w:r>
        <w:t>Tag recurring themes such as belonging, displacement, hierarchy, ritual, adaptation, gender roles, or migration.</w:t>
      </w:r>
    </w:p>
    <w:p>
      <w:pPr>
        <w:pStyle w:val="ListBullet"/>
        <w:spacing w:after="100"/>
      </w:pPr>
      <w:r>
        <w:t>Back up locally and in secure cloud storage when appropriate.</w:t>
      </w:r>
    </w:p>
    <w:p>
      <w:r>
        <w:br w:type="page"/>
      </w:r>
    </w:p>
    <w:p>
      <w:pPr>
        <w:pStyle w:val="Heading1"/>
      </w:pPr>
      <w:r>
        <w:t>13. Building a Supportive Movement Around the Project</w:t>
      </w:r>
    </w:p>
    <w:p>
      <w:pPr>
        <w:pStyle w:val="SubtitleCustom"/>
      </w:pPr>
      <w:r>
        <w:t>How the mission becomes larger than one trip, one post, or one founder.</w:t>
      </w:r>
    </w:p>
    <w:p>
      <w:pPr/>
      <w:r>
        <w:t>A project like this grows through narrative trust. People support missions when they can feel the internal logic of the work and when the work repeatedly demonstrates seriousness. The book itself should help create that seriousness. It should show that Vanishing Worlds is not random wandering; it is an intentional archive-building effort rooted in respect, curiosity, and field discipline.</w:t>
      </w:r>
    </w:p>
    <w:p>
      <w:pPr/>
      <w:r>
        <w:t>The public story can be concise: we document changing, overlooked, and vanishing human worlds before they are lost. The inner culture must be richer: move slowly, listen deeply, verify context, protect dignity, preserve texture, and tell the truth.</w:t>
      </w:r>
    </w:p>
    <w:p>
      <w:pPr/>
      <w:r>
        <w:t>A supportive movement can include donors, volunteer researchers, translators, photographers, editors, local guides, educators, and readers who simply help the project stay visible. Over time, the project might also host field essays, mini-documentaries, supporter briefings, interviews with experts, community-submitted leads, and thematic archive collections.</w:t>
      </w:r>
    </w:p>
    <w:p>
      <w:pPr/>
      <w:r>
        <w:t>A book like this becomes part of that movement-building architecture. It gives people language to explain the mission. It converts vague interest into informed support. It helps serious collaborators feel that the project has bones.</w:t>
      </w:r>
    </w:p>
    <w:p>
      <w:pPr>
        <w:pStyle w:val="ListBullet"/>
        <w:spacing w:after="100"/>
      </w:pPr>
      <w:r>
        <w:t>Use field notes to keep supporters close to the real work.</w:t>
      </w:r>
    </w:p>
    <w:p>
      <w:pPr>
        <w:pStyle w:val="ListBullet"/>
        <w:spacing w:after="100"/>
      </w:pPr>
      <w:r>
        <w:t>Translate admiration into clear next steps.</w:t>
      </w:r>
    </w:p>
    <w:p>
      <w:pPr>
        <w:pStyle w:val="ListBullet"/>
        <w:spacing w:after="100"/>
      </w:pPr>
      <w:r>
        <w:t>Show process, not only finished output.</w:t>
      </w:r>
    </w:p>
    <w:p>
      <w:pPr>
        <w:pStyle w:val="ListBullet"/>
        <w:spacing w:after="100"/>
      </w:pPr>
      <w:r>
        <w:t>Invite thoughtful collaboration without lowering standards.</w:t>
      </w:r>
    </w:p>
    <w:p>
      <w:pPr>
        <w:pStyle w:val="ListBullet"/>
        <w:spacing w:after="100"/>
      </w:pPr>
      <w:r>
        <w:t>Make the archive feel alive, not static.</w:t>
      </w:r>
    </w:p>
    <w:p>
      <w:pPr>
        <w:pStyle w:val="ListBullet"/>
        <w:spacing w:after="100"/>
      </w:pPr>
      <w:r>
        <w:t>Return often to the project’s core ethic: respect before access, listening before judgment.</w:t>
      </w:r>
    </w:p>
    <w:p>
      <w:r>
        <w:br w:type="page"/>
      </w:r>
    </w:p>
    <w:p>
      <w:pPr>
        <w:pStyle w:val="Heading1"/>
      </w:pPr>
      <w:r>
        <w:t>14. Suggested Future Chapters and Companion Products</w:t>
      </w:r>
    </w:p>
    <w:p>
      <w:pPr>
        <w:pStyle w:val="SubtitleCustom"/>
      </w:pPr>
      <w:r>
        <w:t>Making the book more sellable by opening obvious expansions around the mission.</w:t>
      </w:r>
    </w:p>
    <w:p>
      <w:pPr/>
      <w:r>
        <w:t>This project has the potential to become more than one book. The strongest sellable product ecosystem would allow readers to enter at different levels. Some will want a mission book. Some will want a field guide. Some will want a visual coffee-table edition. Some will want an interview workbook. Some will want a donor packet or a collector edition tied to early field expeditions.</w:t>
      </w:r>
    </w:p>
    <w:p>
      <w:pPr/>
      <w:r>
        <w:t>To support the project commercially and educationally, several additional chapters or companion products are worth considering. A chapter on oral history methods would deepen the interview content. A chapter on documentary photography ethics would widen the creative practice section. A chapter on preserving digital-native subcultures would help modern readers see that vanishing worlds are not only remote or traditional; they can also be online scenes, niche communities, and fragile forms of identity that platforms flatten quickly. A chapter on field safety and risk would strengthen practical credibility. A chapter on grief, nostalgia, and belonging would add emotional depth.</w:t>
      </w:r>
    </w:p>
    <w:p>
      <w:pPr/>
      <w:r>
        <w:t>Potential companion products include a field notebook, an interview prompt deck, a supporter edition with selected photo essays, a pocket field guide for volunteers, and an educational edition for classrooms or cultural organizations. Each can support the larger mission while also broadening income streams that make the archive sustainable.</w:t>
      </w:r>
    </w:p>
    <w:p>
      <w:pPr/>
      <w:r>
        <w:t>The best products will keep the same tone as the project itself: curious, reverent, thoughtful, and unsensational.</w:t>
      </w:r>
    </w:p>
    <w:p>
      <w:pPr>
        <w:pStyle w:val="ListBullet"/>
        <w:spacing w:after="100"/>
      </w:pPr>
      <w:r>
        <w:t>Companion field notebook with observation pages and artifact log sheets.</w:t>
      </w:r>
    </w:p>
    <w:p>
      <w:pPr>
        <w:pStyle w:val="ListBullet"/>
        <w:spacing w:after="100"/>
      </w:pPr>
      <w:r>
        <w:t>Interview prompt deck organized by theme: work, belonging, thresholds, craft, repair, migration.</w:t>
      </w:r>
    </w:p>
    <w:p>
      <w:pPr>
        <w:pStyle w:val="ListBullet"/>
        <w:spacing w:after="100"/>
      </w:pPr>
      <w:r>
        <w:t>Supporter booklet explaining how donations translate into concrete field outcomes.</w:t>
      </w:r>
    </w:p>
    <w:p>
      <w:pPr>
        <w:pStyle w:val="ListBullet"/>
        <w:spacing w:after="100"/>
      </w:pPr>
      <w:r>
        <w:t>Educational edition for classrooms on how to study culture without flattening it.</w:t>
      </w:r>
    </w:p>
    <w:p>
      <w:r>
        <w:br w:type="page"/>
      </w:r>
    </w:p>
    <w:p>
      <w:pPr>
        <w:pStyle w:val="Heading1"/>
      </w:pPr>
      <w:r>
        <w:t>Appendix A. Interview Starter Toolkit</w:t>
      </w:r>
    </w:p>
    <w:p>
      <w:r>
        <w:t>Use these prompts to begin conversations without forcing people into rigid answers. The goal is not to ask all of them; the goal is to open meaningful doors.</w:t>
      </w:r>
    </w:p>
    <w:p>
      <w:pPr>
        <w:pStyle w:val="Heading2"/>
      </w:pPr>
      <w:r>
        <w:t>Identity and belonging</w:t>
      </w:r>
    </w:p>
    <w:p>
      <w:pPr>
        <w:pStyle w:val="ListBullet"/>
        <w:spacing w:after="100"/>
      </w:pPr>
      <w:r>
        <w:t>How would you describe this community to someone who has never seen it?</w:t>
      </w:r>
    </w:p>
    <w:p>
      <w:pPr>
        <w:pStyle w:val="ListBullet"/>
        <w:spacing w:after="100"/>
      </w:pPr>
      <w:r>
        <w:t>What makes someone an insider here?</w:t>
      </w:r>
    </w:p>
    <w:p>
      <w:pPr>
        <w:pStyle w:val="ListBullet"/>
        <w:spacing w:after="100"/>
      </w:pPr>
      <w:r>
        <w:t>What do outsiders almost always misunderstand?</w:t>
      </w:r>
    </w:p>
    <w:p>
      <w:pPr>
        <w:pStyle w:val="Heading2"/>
      </w:pPr>
      <w:r>
        <w:t>History and change</w:t>
      </w:r>
    </w:p>
    <w:p>
      <w:pPr>
        <w:pStyle w:val="ListBullet"/>
        <w:spacing w:after="100"/>
      </w:pPr>
      <w:r>
        <w:t>What was different here ten or twenty years ago?</w:t>
      </w:r>
    </w:p>
    <w:p>
      <w:pPr>
        <w:pStyle w:val="ListBullet"/>
        <w:spacing w:after="100"/>
      </w:pPr>
      <w:r>
        <w:t>What has been lost, and what has been gained?</w:t>
      </w:r>
    </w:p>
    <w:p>
      <w:pPr>
        <w:pStyle w:val="ListBullet"/>
        <w:spacing w:after="100"/>
      </w:pPr>
      <w:r>
        <w:t>What are younger people carrying forward, and what are they leaving behind?</w:t>
      </w:r>
    </w:p>
    <w:p>
      <w:pPr>
        <w:pStyle w:val="Heading2"/>
      </w:pPr>
      <w:r>
        <w:t>Rules and hierarchy</w:t>
      </w:r>
    </w:p>
    <w:p>
      <w:pPr>
        <w:pStyle w:val="ListBullet"/>
        <w:spacing w:after="100"/>
      </w:pPr>
      <w:r>
        <w:t>Who is respected here, and why?</w:t>
      </w:r>
    </w:p>
    <w:p>
      <w:pPr>
        <w:pStyle w:val="ListBullet"/>
        <w:spacing w:after="100"/>
      </w:pPr>
      <w:r>
        <w:t>How do people learn the unwritten rules?</w:t>
      </w:r>
    </w:p>
    <w:p>
      <w:pPr>
        <w:pStyle w:val="ListBullet"/>
        <w:spacing w:after="100"/>
      </w:pPr>
      <w:r>
        <w:t>What happens when someone violates the code?</w:t>
      </w:r>
    </w:p>
    <w:p>
      <w:pPr>
        <w:pStyle w:val="Heading2"/>
      </w:pPr>
      <w:r>
        <w:t>Artifacts and memory</w:t>
      </w:r>
    </w:p>
    <w:p>
      <w:pPr>
        <w:pStyle w:val="ListBullet"/>
        <w:spacing w:after="100"/>
      </w:pPr>
      <w:r>
        <w:t>Are there objects, places, songs, sayings, or symbols that matter deeply here?</w:t>
      </w:r>
    </w:p>
    <w:p>
      <w:pPr>
        <w:pStyle w:val="ListBullet"/>
        <w:spacing w:after="100"/>
      </w:pPr>
      <w:r>
        <w:t>What story would you want preserved for the future?</w:t>
      </w:r>
    </w:p>
    <w:p>
      <w:pPr>
        <w:pStyle w:val="ListBullet"/>
        <w:spacing w:after="100"/>
      </w:pPr>
      <w:r>
        <w:t>If one object could represent this world honestly, what would it be?</w:t>
      </w:r>
    </w:p>
    <w:p>
      <w:pPr>
        <w:pStyle w:val="Heading2"/>
      </w:pPr>
      <w:r>
        <w:t>Emotion and meaning</w:t>
      </w:r>
    </w:p>
    <w:p>
      <w:pPr>
        <w:pStyle w:val="ListBullet"/>
        <w:spacing w:after="100"/>
      </w:pPr>
      <w:r>
        <w:t>What is beautiful about this world?</w:t>
      </w:r>
    </w:p>
    <w:p>
      <w:pPr>
        <w:pStyle w:val="ListBullet"/>
        <w:spacing w:after="100"/>
      </w:pPr>
      <w:r>
        <w:t>What is hard about living in it?</w:t>
      </w:r>
    </w:p>
    <w:p>
      <w:pPr>
        <w:pStyle w:val="ListBullet"/>
        <w:spacing w:after="100"/>
      </w:pPr>
      <w:r>
        <w:t>What would you never want the outside world to forget?</w:t>
      </w:r>
    </w:p>
    <w:p>
      <w:r>
        <w:br w:type="page"/>
      </w:r>
    </w:p>
    <w:p>
      <w:pPr>
        <w:pStyle w:val="Heading1"/>
      </w:pPr>
      <w:r>
        <w:t>Appendix B. Field Observation Worksheet</w:t>
      </w:r>
    </w:p>
    <w:p>
      <w:r>
        <w:t>Complete this immediately before, during, or after field visits so sensory and relational detail is not lost.</w:t>
      </w:r>
    </w:p>
    <w:tbl>
      <w:tblPr>
        <w:tblStyle w:val="TableGrid"/>
        <w:tblW w:type="auto" w:w="0"/>
        <w:jc w:val="center"/>
        <w:tblLook w:firstColumn="1" w:firstRow="1" w:lastColumn="0" w:lastRow="0" w:noHBand="0" w:noVBand="1" w:val="04A0"/>
      </w:tblPr>
      <w:tblGrid>
        <w:gridCol w:w="4896"/>
        <w:gridCol w:w="4896"/>
      </w:tblGrid>
      <w:tr>
        <w:tc>
          <w:tcPr>
            <w:tcW w:type="dxa" w:w="4896"/>
            <w:vAlign w:val="center"/>
            <w:tcMar>
              <w:top w:w="90" w:type="dxa"/>
              <w:left w:w="90" w:type="dxa"/>
              <w:bottom w:w="90" w:type="dxa"/>
              <w:right w:w="90" w:type="dxa"/>
            </w:tcMar>
            <w:shd w:fill="DDE4EC"/>
          </w:tcPr>
          <w:p>
            <w:pPr>
              <w:jc w:val="center"/>
            </w:pPr>
            <w:r/>
            <w:r>
              <w:rPr>
                <w:rFonts w:ascii="Aptos" w:hAnsi="Aptos"/>
                <w:b/>
                <w:sz w:val="20"/>
              </w:rPr>
              <w:t>Field</w:t>
            </w:r>
          </w:p>
        </w:tc>
        <w:tc>
          <w:tcPr>
            <w:tcW w:type="dxa" w:w="4896"/>
            <w:vAlign w:val="center"/>
            <w:tcMar>
              <w:top w:w="90" w:type="dxa"/>
              <w:left w:w="90" w:type="dxa"/>
              <w:bottom w:w="90" w:type="dxa"/>
              <w:right w:w="90" w:type="dxa"/>
            </w:tcMar>
            <w:shd w:fill="DDE4EC"/>
          </w:tcPr>
          <w:p>
            <w:pPr>
              <w:jc w:val="center"/>
            </w:pPr>
            <w:r/>
            <w:r>
              <w:rPr>
                <w:rFonts w:ascii="Aptos" w:hAnsi="Aptos"/>
                <w:b/>
                <w:sz w:val="20"/>
              </w:rPr>
              <w:t>Notes</w:t>
            </w:r>
          </w:p>
        </w:tc>
      </w:tr>
      <w:tr>
        <w:tc>
          <w:tcPr>
            <w:tcW w:type="dxa" w:w="4896"/>
            <w:vAlign w:val="center"/>
            <w:tcMar>
              <w:top w:w="90" w:type="dxa"/>
              <w:left w:w="90" w:type="dxa"/>
              <w:bottom w:w="90" w:type="dxa"/>
              <w:right w:w="90" w:type="dxa"/>
            </w:tcMar>
            <w:shd w:fill="F7F8FA"/>
          </w:tcPr>
          <w:p>
            <w:r/>
            <w:r>
              <w:rPr>
                <w:rFonts w:ascii="Aptos" w:hAnsi="Aptos"/>
                <w:b/>
                <w:sz w:val="20"/>
              </w:rPr>
              <w:t>Date / time / place</w:t>
            </w:r>
          </w:p>
        </w:tc>
        <w:tc>
          <w:tcPr>
            <w:tcW w:type="dxa" w:w="4896"/>
            <w:vAlign w:val="center"/>
            <w:tcMar>
              <w:top w:w="90" w:type="dxa"/>
              <w:left w:w="90" w:type="dxa"/>
              <w:bottom w:w="90" w:type="dxa"/>
              <w:right w:w="90" w:type="dxa"/>
            </w:tcMar>
          </w:tcPr>
          <w:p>
            <w:r/>
            <w:r>
              <w:rPr>
                <w:rFonts w:ascii="Aptos" w:hAnsi="Aptos"/>
                <w:b w:val="0"/>
                <w:sz w:val="20"/>
              </w:rPr>
              <w:br/>
              <w:br/>
            </w:r>
          </w:p>
        </w:tc>
      </w:tr>
      <w:tr>
        <w:tc>
          <w:tcPr>
            <w:tcW w:type="dxa" w:w="4896"/>
            <w:vAlign w:val="center"/>
            <w:tcMar>
              <w:top w:w="90" w:type="dxa"/>
              <w:left w:w="90" w:type="dxa"/>
              <w:bottom w:w="90" w:type="dxa"/>
              <w:right w:w="90" w:type="dxa"/>
            </w:tcMar>
            <w:shd w:fill="F7F8FA"/>
          </w:tcPr>
          <w:p>
            <w:r/>
            <w:r>
              <w:rPr>
                <w:rFonts w:ascii="Aptos" w:hAnsi="Aptos"/>
                <w:b/>
                <w:sz w:val="20"/>
              </w:rPr>
              <w:t>Community or subculture observed</w:t>
            </w:r>
          </w:p>
        </w:tc>
        <w:tc>
          <w:tcPr>
            <w:tcW w:type="dxa" w:w="4896"/>
            <w:vAlign w:val="center"/>
            <w:tcMar>
              <w:top w:w="90" w:type="dxa"/>
              <w:left w:w="90" w:type="dxa"/>
              <w:bottom w:w="90" w:type="dxa"/>
              <w:right w:w="90" w:type="dxa"/>
            </w:tcMar>
          </w:tcPr>
          <w:p>
            <w:r/>
            <w:r>
              <w:rPr>
                <w:rFonts w:ascii="Aptos" w:hAnsi="Aptos"/>
                <w:b w:val="0"/>
                <w:sz w:val="20"/>
              </w:rPr>
              <w:br/>
              <w:br/>
            </w:r>
          </w:p>
        </w:tc>
      </w:tr>
      <w:tr>
        <w:tc>
          <w:tcPr>
            <w:tcW w:type="dxa" w:w="4896"/>
            <w:vAlign w:val="center"/>
            <w:tcMar>
              <w:top w:w="90" w:type="dxa"/>
              <w:left w:w="90" w:type="dxa"/>
              <w:bottom w:w="90" w:type="dxa"/>
              <w:right w:w="90" w:type="dxa"/>
            </w:tcMar>
            <w:shd w:fill="F7F8FA"/>
          </w:tcPr>
          <w:p>
            <w:r/>
            <w:r>
              <w:rPr>
                <w:rFonts w:ascii="Aptos" w:hAnsi="Aptos"/>
                <w:b/>
                <w:sz w:val="20"/>
              </w:rPr>
              <w:t>Atmosphere and first impression</w:t>
            </w:r>
          </w:p>
        </w:tc>
        <w:tc>
          <w:tcPr>
            <w:tcW w:type="dxa" w:w="4896"/>
            <w:vAlign w:val="center"/>
            <w:tcMar>
              <w:top w:w="90" w:type="dxa"/>
              <w:left w:w="90" w:type="dxa"/>
              <w:bottom w:w="90" w:type="dxa"/>
              <w:right w:w="90" w:type="dxa"/>
            </w:tcMar>
          </w:tcPr>
          <w:p>
            <w:r/>
            <w:r>
              <w:rPr>
                <w:rFonts w:ascii="Aptos" w:hAnsi="Aptos"/>
                <w:b w:val="0"/>
                <w:sz w:val="20"/>
              </w:rPr>
              <w:br/>
              <w:br/>
            </w:r>
          </w:p>
        </w:tc>
      </w:tr>
      <w:tr>
        <w:tc>
          <w:tcPr>
            <w:tcW w:type="dxa" w:w="4896"/>
            <w:vAlign w:val="center"/>
            <w:tcMar>
              <w:top w:w="90" w:type="dxa"/>
              <w:left w:w="90" w:type="dxa"/>
              <w:bottom w:w="90" w:type="dxa"/>
              <w:right w:w="90" w:type="dxa"/>
            </w:tcMar>
            <w:shd w:fill="F7F8FA"/>
          </w:tcPr>
          <w:p>
            <w:r/>
            <w:r>
              <w:rPr>
                <w:rFonts w:ascii="Aptos" w:hAnsi="Aptos"/>
                <w:b/>
                <w:sz w:val="20"/>
              </w:rPr>
              <w:t>Who gathered where, and why</w:t>
            </w:r>
          </w:p>
        </w:tc>
        <w:tc>
          <w:tcPr>
            <w:tcW w:type="dxa" w:w="4896"/>
            <w:vAlign w:val="center"/>
            <w:tcMar>
              <w:top w:w="90" w:type="dxa"/>
              <w:left w:w="90" w:type="dxa"/>
              <w:bottom w:w="90" w:type="dxa"/>
              <w:right w:w="90" w:type="dxa"/>
            </w:tcMar>
          </w:tcPr>
          <w:p>
            <w:r/>
            <w:r>
              <w:rPr>
                <w:rFonts w:ascii="Aptos" w:hAnsi="Aptos"/>
                <w:b w:val="0"/>
                <w:sz w:val="20"/>
              </w:rPr>
              <w:br/>
              <w:br/>
            </w:r>
          </w:p>
        </w:tc>
      </w:tr>
      <w:tr>
        <w:tc>
          <w:tcPr>
            <w:tcW w:type="dxa" w:w="4896"/>
            <w:vAlign w:val="center"/>
            <w:tcMar>
              <w:top w:w="90" w:type="dxa"/>
              <w:left w:w="90" w:type="dxa"/>
              <w:bottom w:w="90" w:type="dxa"/>
              <w:right w:w="90" w:type="dxa"/>
            </w:tcMar>
            <w:shd w:fill="F7F8FA"/>
          </w:tcPr>
          <w:p>
            <w:r/>
            <w:r>
              <w:rPr>
                <w:rFonts w:ascii="Aptos" w:hAnsi="Aptos"/>
                <w:b/>
                <w:sz w:val="20"/>
              </w:rPr>
              <w:t>Sounds, rhythms, and repeated phrases</w:t>
            </w:r>
          </w:p>
        </w:tc>
        <w:tc>
          <w:tcPr>
            <w:tcW w:type="dxa" w:w="4896"/>
            <w:vAlign w:val="center"/>
            <w:tcMar>
              <w:top w:w="90" w:type="dxa"/>
              <w:left w:w="90" w:type="dxa"/>
              <w:bottom w:w="90" w:type="dxa"/>
              <w:right w:w="90" w:type="dxa"/>
            </w:tcMar>
          </w:tcPr>
          <w:p>
            <w:r/>
            <w:r>
              <w:rPr>
                <w:rFonts w:ascii="Aptos" w:hAnsi="Aptos"/>
                <w:b w:val="0"/>
                <w:sz w:val="20"/>
              </w:rPr>
              <w:br/>
              <w:br/>
            </w:r>
          </w:p>
        </w:tc>
      </w:tr>
      <w:tr>
        <w:tc>
          <w:tcPr>
            <w:tcW w:type="dxa" w:w="4896"/>
            <w:vAlign w:val="center"/>
            <w:tcMar>
              <w:top w:w="90" w:type="dxa"/>
              <w:left w:w="90" w:type="dxa"/>
              <w:bottom w:w="90" w:type="dxa"/>
              <w:right w:w="90" w:type="dxa"/>
            </w:tcMar>
            <w:shd w:fill="F7F8FA"/>
          </w:tcPr>
          <w:p>
            <w:r/>
            <w:r>
              <w:rPr>
                <w:rFonts w:ascii="Aptos" w:hAnsi="Aptos"/>
                <w:b/>
                <w:sz w:val="20"/>
              </w:rPr>
              <w:t>Key artifacts, objects, or symbols</w:t>
            </w:r>
          </w:p>
        </w:tc>
        <w:tc>
          <w:tcPr>
            <w:tcW w:type="dxa" w:w="4896"/>
            <w:vAlign w:val="center"/>
            <w:tcMar>
              <w:top w:w="90" w:type="dxa"/>
              <w:left w:w="90" w:type="dxa"/>
              <w:bottom w:w="90" w:type="dxa"/>
              <w:right w:w="90" w:type="dxa"/>
            </w:tcMar>
          </w:tcPr>
          <w:p>
            <w:r/>
            <w:r>
              <w:rPr>
                <w:rFonts w:ascii="Aptos" w:hAnsi="Aptos"/>
                <w:b w:val="0"/>
                <w:sz w:val="20"/>
              </w:rPr>
              <w:br/>
              <w:br/>
            </w:r>
          </w:p>
        </w:tc>
      </w:tr>
    </w:tbl>
    <w:p>
      <w:r>
        <w:br w:type="page"/>
      </w:r>
    </w:p>
    <w:p>
      <w:pPr>
        <w:pStyle w:val="Heading2"/>
      </w:pPr>
      <w:r>
        <w:t>Appendix B Continued</w:t>
      </w:r>
    </w:p>
    <w:tbl>
      <w:tblPr>
        <w:tblStyle w:val="TableGrid"/>
        <w:tblW w:type="auto" w:w="0"/>
        <w:jc w:val="center"/>
        <w:tblLook w:firstColumn="1" w:firstRow="1" w:lastColumn="0" w:lastRow="0" w:noHBand="0" w:noVBand="1" w:val="04A0"/>
      </w:tblPr>
      <w:tblGrid>
        <w:gridCol w:w="4896"/>
        <w:gridCol w:w="4896"/>
      </w:tblGrid>
      <w:tr>
        <w:tc>
          <w:tcPr>
            <w:tcW w:type="dxa" w:w="4896"/>
            <w:vAlign w:val="center"/>
            <w:tcMar>
              <w:top w:w="90" w:type="dxa"/>
              <w:left w:w="90" w:type="dxa"/>
              <w:bottom w:w="90" w:type="dxa"/>
              <w:right w:w="90" w:type="dxa"/>
            </w:tcMar>
            <w:shd w:fill="DDE4EC"/>
          </w:tcPr>
          <w:p>
            <w:pPr>
              <w:jc w:val="center"/>
            </w:pPr>
            <w:r/>
            <w:r>
              <w:rPr>
                <w:rFonts w:ascii="Aptos" w:hAnsi="Aptos"/>
                <w:b/>
                <w:sz w:val="20"/>
              </w:rPr>
              <w:t>Field</w:t>
            </w:r>
          </w:p>
        </w:tc>
        <w:tc>
          <w:tcPr>
            <w:tcW w:type="dxa" w:w="4896"/>
            <w:vAlign w:val="center"/>
            <w:tcMar>
              <w:top w:w="90" w:type="dxa"/>
              <w:left w:w="90" w:type="dxa"/>
              <w:bottom w:w="90" w:type="dxa"/>
              <w:right w:w="90" w:type="dxa"/>
            </w:tcMar>
            <w:shd w:fill="DDE4EC"/>
          </w:tcPr>
          <w:p>
            <w:pPr>
              <w:jc w:val="center"/>
            </w:pPr>
            <w:r/>
            <w:r>
              <w:rPr>
                <w:rFonts w:ascii="Aptos" w:hAnsi="Aptos"/>
                <w:b/>
                <w:sz w:val="20"/>
              </w:rPr>
              <w:t>Notes</w:t>
            </w:r>
          </w:p>
        </w:tc>
      </w:tr>
      <w:tr>
        <w:tc>
          <w:tcPr>
            <w:tcW w:type="dxa" w:w="4896"/>
            <w:vAlign w:val="center"/>
            <w:tcMar>
              <w:top w:w="90" w:type="dxa"/>
              <w:left w:w="90" w:type="dxa"/>
              <w:bottom w:w="90" w:type="dxa"/>
              <w:right w:w="90" w:type="dxa"/>
            </w:tcMar>
            <w:shd w:fill="F7F8FA"/>
          </w:tcPr>
          <w:p>
            <w:r/>
            <w:r>
              <w:rPr>
                <w:rFonts w:ascii="Aptos" w:hAnsi="Aptos"/>
                <w:b/>
                <w:sz w:val="20"/>
              </w:rPr>
              <w:t>Visible hierarchy or role distribution</w:t>
            </w:r>
          </w:p>
        </w:tc>
        <w:tc>
          <w:tcPr>
            <w:tcW w:type="dxa" w:w="4896"/>
            <w:vAlign w:val="center"/>
            <w:tcMar>
              <w:top w:w="90" w:type="dxa"/>
              <w:left w:w="90" w:type="dxa"/>
              <w:bottom w:w="90" w:type="dxa"/>
              <w:right w:w="90" w:type="dxa"/>
            </w:tcMar>
          </w:tcPr>
          <w:p>
            <w:r/>
            <w:r>
              <w:rPr>
                <w:rFonts w:ascii="Aptos" w:hAnsi="Aptos"/>
                <w:b w:val="0"/>
                <w:sz w:val="20"/>
              </w:rPr>
              <w:br/>
              <w:br/>
            </w:r>
          </w:p>
        </w:tc>
      </w:tr>
      <w:tr>
        <w:tc>
          <w:tcPr>
            <w:tcW w:type="dxa" w:w="4896"/>
            <w:vAlign w:val="center"/>
            <w:tcMar>
              <w:top w:w="90" w:type="dxa"/>
              <w:left w:w="90" w:type="dxa"/>
              <w:bottom w:w="90" w:type="dxa"/>
              <w:right w:w="90" w:type="dxa"/>
            </w:tcMar>
            <w:shd w:fill="F7F8FA"/>
          </w:tcPr>
          <w:p>
            <w:r/>
            <w:r>
              <w:rPr>
                <w:rFonts w:ascii="Aptos" w:hAnsi="Aptos"/>
                <w:b/>
                <w:sz w:val="20"/>
              </w:rPr>
              <w:t>Rules, boundaries, or trust signals</w:t>
            </w:r>
          </w:p>
        </w:tc>
        <w:tc>
          <w:tcPr>
            <w:tcW w:type="dxa" w:w="4896"/>
            <w:vAlign w:val="center"/>
            <w:tcMar>
              <w:top w:w="90" w:type="dxa"/>
              <w:left w:w="90" w:type="dxa"/>
              <w:bottom w:w="90" w:type="dxa"/>
              <w:right w:w="90" w:type="dxa"/>
            </w:tcMar>
          </w:tcPr>
          <w:p>
            <w:r/>
            <w:r>
              <w:rPr>
                <w:rFonts w:ascii="Aptos" w:hAnsi="Aptos"/>
                <w:b w:val="0"/>
                <w:sz w:val="20"/>
              </w:rPr>
              <w:br/>
              <w:br/>
            </w:r>
          </w:p>
        </w:tc>
      </w:tr>
      <w:tr>
        <w:tc>
          <w:tcPr>
            <w:tcW w:type="dxa" w:w="4896"/>
            <w:vAlign w:val="center"/>
            <w:tcMar>
              <w:top w:w="90" w:type="dxa"/>
              <w:left w:w="90" w:type="dxa"/>
              <w:bottom w:w="90" w:type="dxa"/>
              <w:right w:w="90" w:type="dxa"/>
            </w:tcMar>
            <w:shd w:fill="F7F8FA"/>
          </w:tcPr>
          <w:p>
            <w:r/>
            <w:r>
              <w:rPr>
                <w:rFonts w:ascii="Aptos" w:hAnsi="Aptos"/>
                <w:b/>
                <w:sz w:val="20"/>
              </w:rPr>
              <w:t>Tensions, contradictions, or pressures</w:t>
            </w:r>
          </w:p>
        </w:tc>
        <w:tc>
          <w:tcPr>
            <w:tcW w:type="dxa" w:w="4896"/>
            <w:vAlign w:val="center"/>
            <w:tcMar>
              <w:top w:w="90" w:type="dxa"/>
              <w:left w:w="90" w:type="dxa"/>
              <w:bottom w:w="90" w:type="dxa"/>
              <w:right w:w="90" w:type="dxa"/>
            </w:tcMar>
          </w:tcPr>
          <w:p>
            <w:r/>
            <w:r>
              <w:rPr>
                <w:rFonts w:ascii="Aptos" w:hAnsi="Aptos"/>
                <w:b w:val="0"/>
                <w:sz w:val="20"/>
              </w:rPr>
              <w:br/>
              <w:br/>
            </w:r>
          </w:p>
        </w:tc>
      </w:tr>
      <w:tr>
        <w:tc>
          <w:tcPr>
            <w:tcW w:type="dxa" w:w="4896"/>
            <w:vAlign w:val="center"/>
            <w:tcMar>
              <w:top w:w="90" w:type="dxa"/>
              <w:left w:w="90" w:type="dxa"/>
              <w:bottom w:w="90" w:type="dxa"/>
              <w:right w:w="90" w:type="dxa"/>
            </w:tcMar>
            <w:shd w:fill="F7F8FA"/>
          </w:tcPr>
          <w:p>
            <w:r/>
            <w:r>
              <w:rPr>
                <w:rFonts w:ascii="Aptos" w:hAnsi="Aptos"/>
                <w:b/>
                <w:sz w:val="20"/>
              </w:rPr>
              <w:t>What deserves follow-up</w:t>
            </w:r>
          </w:p>
        </w:tc>
        <w:tc>
          <w:tcPr>
            <w:tcW w:type="dxa" w:w="4896"/>
            <w:vAlign w:val="center"/>
            <w:tcMar>
              <w:top w:w="90" w:type="dxa"/>
              <w:left w:w="90" w:type="dxa"/>
              <w:bottom w:w="90" w:type="dxa"/>
              <w:right w:w="90" w:type="dxa"/>
            </w:tcMar>
          </w:tcPr>
          <w:p>
            <w:r/>
            <w:r>
              <w:rPr>
                <w:rFonts w:ascii="Aptos" w:hAnsi="Aptos"/>
                <w:b w:val="0"/>
                <w:sz w:val="20"/>
              </w:rPr>
              <w:br/>
              <w:br/>
            </w:r>
          </w:p>
        </w:tc>
      </w:tr>
    </w:tbl>
    <w:p>
      <w:r>
        <w:br w:type="page"/>
      </w:r>
    </w:p>
    <w:p>
      <w:pPr>
        <w:pStyle w:val="Heading1"/>
      </w:pPr>
      <w:r>
        <w:t>Appendix C. Artifact and Object Log</w:t>
      </w:r>
    </w:p>
    <w:p>
      <w:r>
        <w:t>Use this to document objects as carriers of cultural memory rather than as isolated curiosities.</w:t>
      </w:r>
    </w:p>
    <w:tbl>
      <w:tblPr>
        <w:tblStyle w:val="TableGrid"/>
        <w:tblW w:type="auto" w:w="0"/>
        <w:jc w:val="center"/>
        <w:tblLook w:firstColumn="1" w:firstRow="1" w:lastColumn="0" w:lastRow="0" w:noHBand="0" w:noVBand="1" w:val="04A0"/>
      </w:tblPr>
      <w:tblGrid>
        <w:gridCol w:w="3264"/>
        <w:gridCol w:w="3264"/>
        <w:gridCol w:w="3264"/>
      </w:tblGrid>
      <w:tr>
        <w:tc>
          <w:tcPr>
            <w:tcW w:type="dxa" w:w="3264"/>
            <w:vAlign w:val="center"/>
            <w:tcMar>
              <w:top w:w="90" w:type="dxa"/>
              <w:left w:w="90" w:type="dxa"/>
              <w:bottom w:w="90" w:type="dxa"/>
              <w:right w:w="90" w:type="dxa"/>
            </w:tcMar>
            <w:shd w:fill="DDE4EC"/>
          </w:tcPr>
          <w:p>
            <w:pPr>
              <w:jc w:val="center"/>
            </w:pPr>
            <w:r/>
            <w:r>
              <w:rPr>
                <w:rFonts w:ascii="Aptos" w:hAnsi="Aptos"/>
                <w:b/>
                <w:sz w:val="20"/>
              </w:rPr>
              <w:t>Prompt</w:t>
            </w:r>
          </w:p>
        </w:tc>
        <w:tc>
          <w:tcPr>
            <w:tcW w:type="dxa" w:w="3264"/>
            <w:vAlign w:val="center"/>
            <w:tcMar>
              <w:top w:w="90" w:type="dxa"/>
              <w:left w:w="90" w:type="dxa"/>
              <w:bottom w:w="90" w:type="dxa"/>
              <w:right w:w="90" w:type="dxa"/>
            </w:tcMar>
            <w:shd w:fill="DDE4EC"/>
          </w:tcPr>
          <w:p>
            <w:pPr>
              <w:jc w:val="center"/>
            </w:pPr>
            <w:r/>
            <w:r>
              <w:rPr>
                <w:rFonts w:ascii="Aptos" w:hAnsi="Aptos"/>
                <w:b/>
                <w:sz w:val="20"/>
              </w:rPr>
              <w:t>Why it matters</w:t>
            </w:r>
          </w:p>
        </w:tc>
        <w:tc>
          <w:tcPr>
            <w:tcW w:type="dxa" w:w="3264"/>
            <w:vAlign w:val="center"/>
            <w:tcMar>
              <w:top w:w="90" w:type="dxa"/>
              <w:left w:w="90" w:type="dxa"/>
              <w:bottom w:w="90" w:type="dxa"/>
              <w:right w:w="90" w:type="dxa"/>
            </w:tcMar>
            <w:shd w:fill="DDE4EC"/>
          </w:tcPr>
          <w:p>
            <w:pPr>
              <w:jc w:val="center"/>
            </w:pPr>
            <w:r/>
            <w:r>
              <w:rPr>
                <w:rFonts w:ascii="Aptos" w:hAnsi="Aptos"/>
                <w:b/>
                <w:sz w:val="20"/>
              </w:rPr>
              <w:t>Entry space</w:t>
            </w:r>
          </w:p>
        </w:tc>
      </w:tr>
      <w:tr>
        <w:tc>
          <w:tcPr>
            <w:tcW w:type="dxa" w:w="3264"/>
            <w:vAlign w:val="center"/>
            <w:tcMar>
              <w:top w:w="90" w:type="dxa"/>
              <w:left w:w="90" w:type="dxa"/>
              <w:bottom w:w="90" w:type="dxa"/>
              <w:right w:w="90" w:type="dxa"/>
            </w:tcMar>
            <w:shd w:fill="F7F8FA"/>
          </w:tcPr>
          <w:p>
            <w:r/>
            <w:r>
              <w:rPr>
                <w:rFonts w:ascii="Aptos" w:hAnsi="Aptos"/>
                <w:b/>
                <w:sz w:val="20"/>
              </w:rPr>
              <w:t>Object name / local term</w:t>
            </w:r>
          </w:p>
        </w:tc>
        <w:tc>
          <w:tcPr>
            <w:tcW w:type="dxa" w:w="3264"/>
            <w:vAlign w:val="center"/>
            <w:tcMar>
              <w:top w:w="90" w:type="dxa"/>
              <w:left w:w="90" w:type="dxa"/>
              <w:bottom w:w="90" w:type="dxa"/>
              <w:right w:w="90" w:type="dxa"/>
            </w:tcMar>
          </w:tcPr>
          <w:p>
            <w:r/>
            <w:r>
              <w:rPr>
                <w:rFonts w:ascii="Aptos" w:hAnsi="Aptos"/>
                <w:b w:val="0"/>
                <w:sz w:val="20"/>
              </w:rPr>
              <w:t>Preserves language and identity</w:t>
            </w:r>
          </w:p>
        </w:tc>
        <w:tc>
          <w:tcPr>
            <w:tcW w:type="dxa" w:w="3264"/>
            <w:vAlign w:val="center"/>
            <w:tcMar>
              <w:top w:w="90" w:type="dxa"/>
              <w:left w:w="90" w:type="dxa"/>
              <w:bottom w:w="90" w:type="dxa"/>
              <w:right w:w="90" w:type="dxa"/>
            </w:tcMar>
          </w:tcPr>
          <w:p>
            <w:r/>
            <w:r>
              <w:rPr>
                <w:rFonts w:ascii="Aptos" w:hAnsi="Aptos"/>
                <w:b w:val="0"/>
                <w:sz w:val="20"/>
              </w:rPr>
              <w:br/>
            </w:r>
          </w:p>
        </w:tc>
      </w:tr>
      <w:tr>
        <w:tc>
          <w:tcPr>
            <w:tcW w:type="dxa" w:w="3264"/>
            <w:vAlign w:val="center"/>
            <w:tcMar>
              <w:top w:w="90" w:type="dxa"/>
              <w:left w:w="90" w:type="dxa"/>
              <w:bottom w:w="90" w:type="dxa"/>
              <w:right w:w="90" w:type="dxa"/>
            </w:tcMar>
            <w:shd w:fill="F7F8FA"/>
          </w:tcPr>
          <w:p>
            <w:r/>
            <w:r>
              <w:rPr>
                <w:rFonts w:ascii="Aptos" w:hAnsi="Aptos"/>
                <w:b/>
                <w:sz w:val="20"/>
              </w:rPr>
              <w:t>Owner / user / maker</w:t>
            </w:r>
          </w:p>
        </w:tc>
        <w:tc>
          <w:tcPr>
            <w:tcW w:type="dxa" w:w="3264"/>
            <w:vAlign w:val="center"/>
            <w:tcMar>
              <w:top w:w="90" w:type="dxa"/>
              <w:left w:w="90" w:type="dxa"/>
              <w:bottom w:w="90" w:type="dxa"/>
              <w:right w:w="90" w:type="dxa"/>
            </w:tcMar>
          </w:tcPr>
          <w:p>
            <w:r/>
            <w:r>
              <w:rPr>
                <w:rFonts w:ascii="Aptos" w:hAnsi="Aptos"/>
                <w:b w:val="0"/>
                <w:sz w:val="20"/>
              </w:rPr>
              <w:t>Connects the object to a living story</w:t>
            </w:r>
          </w:p>
        </w:tc>
        <w:tc>
          <w:tcPr>
            <w:tcW w:type="dxa" w:w="3264"/>
            <w:vAlign w:val="center"/>
            <w:tcMar>
              <w:top w:w="90" w:type="dxa"/>
              <w:left w:w="90" w:type="dxa"/>
              <w:bottom w:w="90" w:type="dxa"/>
              <w:right w:w="90" w:type="dxa"/>
            </w:tcMar>
          </w:tcPr>
          <w:p>
            <w:r/>
            <w:r>
              <w:rPr>
                <w:rFonts w:ascii="Aptos" w:hAnsi="Aptos"/>
                <w:b w:val="0"/>
                <w:sz w:val="20"/>
              </w:rPr>
              <w:br/>
            </w:r>
          </w:p>
        </w:tc>
      </w:tr>
      <w:tr>
        <w:tc>
          <w:tcPr>
            <w:tcW w:type="dxa" w:w="3264"/>
            <w:vAlign w:val="center"/>
            <w:tcMar>
              <w:top w:w="90" w:type="dxa"/>
              <w:left w:w="90" w:type="dxa"/>
              <w:bottom w:w="90" w:type="dxa"/>
              <w:right w:w="90" w:type="dxa"/>
            </w:tcMar>
            <w:shd w:fill="F7F8FA"/>
          </w:tcPr>
          <w:p>
            <w:r/>
            <w:r>
              <w:rPr>
                <w:rFonts w:ascii="Aptos" w:hAnsi="Aptos"/>
                <w:b/>
                <w:sz w:val="20"/>
              </w:rPr>
              <w:t>Material / condition / repairs</w:t>
            </w:r>
          </w:p>
        </w:tc>
        <w:tc>
          <w:tcPr>
            <w:tcW w:type="dxa" w:w="3264"/>
            <w:vAlign w:val="center"/>
            <w:tcMar>
              <w:top w:w="90" w:type="dxa"/>
              <w:left w:w="90" w:type="dxa"/>
              <w:bottom w:w="90" w:type="dxa"/>
              <w:right w:w="90" w:type="dxa"/>
            </w:tcMar>
          </w:tcPr>
          <w:p>
            <w:r/>
            <w:r>
              <w:rPr>
                <w:rFonts w:ascii="Aptos" w:hAnsi="Aptos"/>
                <w:b w:val="0"/>
                <w:sz w:val="20"/>
              </w:rPr>
              <w:t>Shows use, scarcity, and continuity</w:t>
            </w:r>
          </w:p>
        </w:tc>
        <w:tc>
          <w:tcPr>
            <w:tcW w:type="dxa" w:w="3264"/>
            <w:vAlign w:val="center"/>
            <w:tcMar>
              <w:top w:w="90" w:type="dxa"/>
              <w:left w:w="90" w:type="dxa"/>
              <w:bottom w:w="90" w:type="dxa"/>
              <w:right w:w="90" w:type="dxa"/>
            </w:tcMar>
          </w:tcPr>
          <w:p>
            <w:r/>
            <w:r>
              <w:rPr>
                <w:rFonts w:ascii="Aptos" w:hAnsi="Aptos"/>
                <w:b w:val="0"/>
                <w:sz w:val="20"/>
              </w:rPr>
              <w:br/>
            </w:r>
          </w:p>
        </w:tc>
      </w:tr>
      <w:tr>
        <w:tc>
          <w:tcPr>
            <w:tcW w:type="dxa" w:w="3264"/>
            <w:vAlign w:val="center"/>
            <w:tcMar>
              <w:top w:w="90" w:type="dxa"/>
              <w:left w:w="90" w:type="dxa"/>
              <w:bottom w:w="90" w:type="dxa"/>
              <w:right w:w="90" w:type="dxa"/>
            </w:tcMar>
            <w:shd w:fill="F7F8FA"/>
          </w:tcPr>
          <w:p>
            <w:r/>
            <w:r>
              <w:rPr>
                <w:rFonts w:ascii="Aptos" w:hAnsi="Aptos"/>
                <w:b/>
                <w:sz w:val="20"/>
              </w:rPr>
              <w:t>Context of use</w:t>
            </w:r>
          </w:p>
        </w:tc>
        <w:tc>
          <w:tcPr>
            <w:tcW w:type="dxa" w:w="3264"/>
            <w:vAlign w:val="center"/>
            <w:tcMar>
              <w:top w:w="90" w:type="dxa"/>
              <w:left w:w="90" w:type="dxa"/>
              <w:bottom w:w="90" w:type="dxa"/>
              <w:right w:w="90" w:type="dxa"/>
            </w:tcMar>
          </w:tcPr>
          <w:p>
            <w:r/>
            <w:r>
              <w:rPr>
                <w:rFonts w:ascii="Aptos" w:hAnsi="Aptos"/>
                <w:b w:val="0"/>
                <w:sz w:val="20"/>
              </w:rPr>
              <w:t>Explains what the object does socially</w:t>
            </w:r>
          </w:p>
        </w:tc>
        <w:tc>
          <w:tcPr>
            <w:tcW w:type="dxa" w:w="3264"/>
            <w:vAlign w:val="center"/>
            <w:tcMar>
              <w:top w:w="90" w:type="dxa"/>
              <w:left w:w="90" w:type="dxa"/>
              <w:bottom w:w="90" w:type="dxa"/>
              <w:right w:w="90" w:type="dxa"/>
            </w:tcMar>
          </w:tcPr>
          <w:p>
            <w:r/>
            <w:r>
              <w:rPr>
                <w:rFonts w:ascii="Aptos" w:hAnsi="Aptos"/>
                <w:b w:val="0"/>
                <w:sz w:val="20"/>
              </w:rPr>
              <w:br/>
            </w:r>
          </w:p>
        </w:tc>
      </w:tr>
      <w:tr>
        <w:tc>
          <w:tcPr>
            <w:tcW w:type="dxa" w:w="3264"/>
            <w:vAlign w:val="center"/>
            <w:tcMar>
              <w:top w:w="90" w:type="dxa"/>
              <w:left w:w="90" w:type="dxa"/>
              <w:bottom w:w="90" w:type="dxa"/>
              <w:right w:w="90" w:type="dxa"/>
            </w:tcMar>
            <w:shd w:fill="F7F8FA"/>
          </w:tcPr>
          <w:p>
            <w:r/>
            <w:r>
              <w:rPr>
                <w:rFonts w:ascii="Aptos" w:hAnsi="Aptos"/>
                <w:b/>
                <w:sz w:val="20"/>
              </w:rPr>
              <w:t>Symbolic meaning</w:t>
            </w:r>
          </w:p>
        </w:tc>
        <w:tc>
          <w:tcPr>
            <w:tcW w:type="dxa" w:w="3264"/>
            <w:vAlign w:val="center"/>
            <w:tcMar>
              <w:top w:w="90" w:type="dxa"/>
              <w:left w:w="90" w:type="dxa"/>
              <w:bottom w:w="90" w:type="dxa"/>
              <w:right w:w="90" w:type="dxa"/>
            </w:tcMar>
          </w:tcPr>
          <w:p>
            <w:r/>
            <w:r>
              <w:rPr>
                <w:rFonts w:ascii="Aptos" w:hAnsi="Aptos"/>
                <w:b w:val="0"/>
                <w:sz w:val="20"/>
              </w:rPr>
              <w:t>Captures emotional and cultural weight</w:t>
            </w:r>
          </w:p>
        </w:tc>
        <w:tc>
          <w:tcPr>
            <w:tcW w:type="dxa" w:w="3264"/>
            <w:vAlign w:val="center"/>
            <w:tcMar>
              <w:top w:w="90" w:type="dxa"/>
              <w:left w:w="90" w:type="dxa"/>
              <w:bottom w:w="90" w:type="dxa"/>
              <w:right w:w="90" w:type="dxa"/>
            </w:tcMar>
          </w:tcPr>
          <w:p>
            <w:r/>
            <w:r>
              <w:rPr>
                <w:rFonts w:ascii="Aptos" w:hAnsi="Aptos"/>
                <w:b w:val="0"/>
                <w:sz w:val="20"/>
              </w:rPr>
              <w:br/>
            </w:r>
          </w:p>
        </w:tc>
      </w:tr>
      <w:tr>
        <w:tc>
          <w:tcPr>
            <w:tcW w:type="dxa" w:w="3264"/>
            <w:vAlign w:val="center"/>
            <w:tcMar>
              <w:top w:w="90" w:type="dxa"/>
              <w:left w:w="90" w:type="dxa"/>
              <w:bottom w:w="90" w:type="dxa"/>
              <w:right w:w="90" w:type="dxa"/>
            </w:tcMar>
            <w:shd w:fill="F7F8FA"/>
          </w:tcPr>
          <w:p>
            <w:r/>
            <w:r>
              <w:rPr>
                <w:rFonts w:ascii="Aptos" w:hAnsi="Aptos"/>
                <w:b/>
                <w:sz w:val="20"/>
              </w:rPr>
              <w:t>Story attached to it</w:t>
            </w:r>
          </w:p>
        </w:tc>
        <w:tc>
          <w:tcPr>
            <w:tcW w:type="dxa" w:w="3264"/>
            <w:vAlign w:val="center"/>
            <w:tcMar>
              <w:top w:w="90" w:type="dxa"/>
              <w:left w:w="90" w:type="dxa"/>
              <w:bottom w:w="90" w:type="dxa"/>
              <w:right w:w="90" w:type="dxa"/>
            </w:tcMar>
          </w:tcPr>
          <w:p>
            <w:r/>
            <w:r>
              <w:rPr>
                <w:rFonts w:ascii="Aptos" w:hAnsi="Aptos"/>
                <w:b w:val="0"/>
                <w:sz w:val="20"/>
              </w:rPr>
              <w:t>Turns matter into memory</w:t>
            </w:r>
          </w:p>
        </w:tc>
        <w:tc>
          <w:tcPr>
            <w:tcW w:type="dxa" w:w="3264"/>
            <w:vAlign w:val="center"/>
            <w:tcMar>
              <w:top w:w="90" w:type="dxa"/>
              <w:left w:w="90" w:type="dxa"/>
              <w:bottom w:w="90" w:type="dxa"/>
              <w:right w:w="90" w:type="dxa"/>
            </w:tcMar>
          </w:tcPr>
          <w:p>
            <w:r/>
            <w:r>
              <w:rPr>
                <w:rFonts w:ascii="Aptos" w:hAnsi="Aptos"/>
                <w:b w:val="0"/>
                <w:sz w:val="20"/>
              </w:rPr>
              <w:br/>
            </w:r>
          </w:p>
        </w:tc>
      </w:tr>
    </w:tbl>
    <w:p>
      <w:r>
        <w:br w:type="page"/>
      </w:r>
    </w:p>
    <w:p>
      <w:pPr>
        <w:pStyle w:val="Heading1"/>
      </w:pPr>
      <w:r>
        <w:t>Appendix D. Supporter Action Map</w:t>
      </w:r>
    </w:p>
    <w:p>
      <w:r>
        <w:t>A fast guide readers can follow after they finish the book.</w:t>
      </w:r>
    </w:p>
    <w:p>
      <w:pPr>
        <w:pStyle w:val="ListNumber"/>
        <w:spacing w:after="100"/>
      </w:pPr>
      <w:r>
        <w:t>Read the mission statement and founder pages on VanishingWorldsProject.org.</w:t>
      </w:r>
    </w:p>
    <w:p>
      <w:pPr>
        <w:pStyle w:val="ListNumber"/>
        <w:spacing w:after="100"/>
      </w:pPr>
      <w:r>
        <w:t>Choose one support lane: donate, connect, amplify, volunteer, research, or create.</w:t>
      </w:r>
    </w:p>
    <w:p>
      <w:pPr>
        <w:pStyle w:val="ListNumber"/>
        <w:spacing w:after="100"/>
      </w:pPr>
      <w:r>
        <w:t>Share the project with one thoughtful person who would understand the mission.</w:t>
      </w:r>
    </w:p>
    <w:p>
      <w:pPr>
        <w:pStyle w:val="ListNumber"/>
        <w:spacing w:after="100"/>
      </w:pPr>
      <w:r>
        <w:t>Send one lead: a community, elder, trade, tradition, or subculture worth documenting.</w:t>
      </w:r>
    </w:p>
    <w:p>
      <w:pPr>
        <w:pStyle w:val="ListNumber"/>
        <w:spacing w:after="100"/>
      </w:pPr>
      <w:r>
        <w:t>Join the newsletter or follow field notes so support stays attached to real work.</w:t>
      </w:r>
    </w:p>
    <w:p>
      <w:pPr>
        <w:pStyle w:val="ListNumber"/>
        <w:spacing w:after="100"/>
      </w:pPr>
      <w:r>
        <w:t>Consider recurring support rather than one-time enthusiasm.</w:t>
      </w:r>
    </w:p>
    <w:p>
      <w:pPr>
        <w:pStyle w:val="ListNumber"/>
        <w:spacing w:after="100"/>
      </w:pPr>
      <w:r>
        <w:t>Encourage the project to stay slow, careful, and ethically grounded as it grows.</w:t>
      </w:r>
    </w:p>
    <w:p>
      <w:r>
        <w:br w:type="page"/>
      </w:r>
    </w:p>
    <w:p>
      <w:pPr>
        <w:pStyle w:val="Heading1"/>
      </w:pPr>
      <w:r>
        <w:t>Project Source Notes</w:t>
      </w:r>
    </w:p>
    <w:p>
      <w:r>
        <w:t>The mission and project descriptions in this manuscript were informed by the public Vanishing Worlds Project website and linked pages available in March 2026, including the homepage mission statement, the Why We Do What We Do page, the founder profile, the founder’s note, and the first field project note on homelessness.</w:t>
      </w:r>
    </w:p>
    <w:p>
      <w:r>
        <w:t>Key source themes reflected here include: preserving the human story of subcultures before they vanish; documenting changing, disappearing, or rarely understood communities; treating stories with respect and curiosity; the founder’s background in counseling and human behavior; and the early field insight that overlooked communities often contain their own social structure, hierarchy, and survival-based culture.</w:t>
      </w:r>
    </w:p>
    <w:p>
      <w:r>
        <w:t>For publication, the project may choose to add a URL page, QR code page, donor page, or acknowledgment page. This edition keeps the book focused on mission, method, ethics, and supporter understanding.</w:t>
      </w:r>
    </w:p>
    <w:sectPr w:rsidR="00FC693F" w:rsidRPr="0006063C" w:rsidSect="00034616">
      <w:footerReference w:type="default" r:id="rId9"/>
      <w:pgSz w:w="12240" w:h="15840"/>
      <w:pgMar w:top="1152" w:right="1224" w:bottom="1008"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sz w:val="18"/>
      </w:rPr>
      <w:t xml:space="preserve">Vanishing Worlds Project Field Guide  |  </w:t>
    </w:r>
    <w:r>
      <w:fldChar w:fldCharType="begin"/>
      <w:instrText xml:space="preserve"> PAGE </w:instrText>
      <w:fldChar w:fldCharType="end"/>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320" w:after="160"/>
      <w:outlineLvl w:val="0"/>
    </w:pPr>
    <w:rPr>
      <w:rFonts w:asciiTheme="majorHAnsi" w:eastAsiaTheme="majorEastAsia" w:hAnsiTheme="majorHAnsi" w:cstheme="majorBidi" w:ascii="Aptos Display" w:hAnsi="Aptos Display"/>
      <w:b/>
      <w:bCs/>
      <w:color w:val="394656"/>
      <w:sz w:val="36"/>
      <w:szCs w:val="28"/>
    </w:rPr>
  </w:style>
  <w:style w:type="paragraph" w:styleId="Heading2">
    <w:name w:val="heading 2"/>
    <w:basedOn w:val="Normal"/>
    <w:next w:val="Normal"/>
    <w:link w:val="Heading2Char"/>
    <w:uiPriority w:val="9"/>
    <w:unhideWhenUsed/>
    <w:qFormat/>
    <w:rsid w:val="00FC693F"/>
    <w:pPr>
      <w:keepNext/>
      <w:keepLines/>
      <w:spacing w:before="240" w:after="120"/>
      <w:outlineLvl w:val="1"/>
    </w:pPr>
    <w:rPr>
      <w:rFonts w:asciiTheme="majorHAnsi" w:eastAsiaTheme="majorEastAsia" w:hAnsiTheme="majorHAnsi" w:cstheme="majorBidi" w:ascii="Aptos" w:hAnsi="Aptos"/>
      <w:b/>
      <w:bCs/>
      <w:color w:val="575D6E"/>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b/>
      <w:color w:val="394656"/>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ubtitleCustom">
    <w:name w:val="SubtitleCustom"/>
    <w:basedOn w:val="Normal"/>
    <w:pPr>
      <w:spacing w:after="240"/>
    </w:pPr>
    <w:rPr>
      <w:rFonts w:ascii="Aptos" w:hAnsi="Aptos"/>
      <w:i/>
      <w:color w:val="606C78"/>
      <w:sz w:val="26"/>
    </w:rPr>
  </w:style>
  <w:style w:type="paragraph" w:customStyle="1" w:styleId="QuoteCustom">
    <w:name w:val="QuoteCustom"/>
    <w:basedOn w:val="Normal"/>
    <w:pPr>
      <w:spacing w:before="120" w:after="200" w:line="276" w:lineRule="auto"/>
      <w:ind w:left="432" w:right="432"/>
    </w:pPr>
    <w:rPr>
      <w:rFonts w:ascii="Georgia" w:hAnsi="Georgia"/>
      <w:i/>
      <w:sz w:val="24"/>
    </w:rPr>
  </w:style>
  <w:style w:type="paragraph" w:customStyle="1" w:styleId="SmallText">
    <w:name w:val="SmallText"/>
    <w:basedOn w:val="Normal"/>
    <w:pPr>
      <w:spacing w:after="80"/>
    </w:pPr>
    <w:rPr>
      <w:rFonts w:ascii="Aptos" w:hAnsi="Aptos"/>
      <w:color w:val="6E6E6E"/>
      <w:sz w:val="18"/>
    </w:rPr>
  </w:style>
  <w:style w:type="paragraph" w:customStyle="1" w:styleId="Callout">
    <w:name w:val="Callout"/>
    <w:basedOn w:val="Normal"/>
    <w:pPr>
      <w:spacing w:after="160"/>
      <w:ind w:left="288" w:right="288"/>
    </w:pPr>
    <w:rPr>
      <w:rFonts w:ascii="Aptos" w:hAnsi="Aptos"/>
      <w:sz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